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0"/>
      </w:pPr>
    </w:p>
    <w:p>
      <w:pPr>
        <w:spacing w:after="80"/>
      </w:pPr>
      <w:r>
        <w:rPr>
          <w:rFonts w:ascii="Arial" w:cs="Arial" w:eastAsia="Arial" w:hAnsi="Arial"/>
          <w:b/>
          <w:bCs/>
          <w:color w:val="0E7C7B"/>
          <w:sz w:val="24"/>
          <w:szCs w:val="24"/>
        </w:rPr>
        <w:t xml:space="preserve">[COMPANY NAME]</w:t>
      </w:r>
    </w:p>
    <w:p>
      <w:pPr>
        <w:pBdr>
          <w:bottom w:val="single" w:color="C9A227" w:sz="18" w:space="8"/>
        </w:pBdr>
        <w:spacing w:after="120"/>
      </w:pPr>
      <w:r>
        <w:rPr>
          <w:rFonts w:ascii="Arial" w:cs="Arial" w:eastAsia="Arial" w:hAnsi="Arial"/>
          <w:b/>
          <w:bCs/>
          <w:color w:val="1F3A5F"/>
          <w:sz w:val="52"/>
          <w:szCs w:val="52"/>
        </w:rPr>
        <w:t xml:space="preserve">Board Reporting Pack</w:t>
      </w:r>
    </w:p>
    <w:p>
      <w:pPr>
        <w:spacing w:after="1200"/>
      </w:pPr>
      <w:r>
        <w:rPr>
          <w:rFonts w:ascii="Arial" w:cs="Arial" w:eastAsia="Arial" w:hAnsi="Arial"/>
          <w:color w:val="595959"/>
          <w:sz w:val="26"/>
          <w:szCs w:val="26"/>
        </w:rPr>
        <w:t xml:space="preserve">For the month ended [MONTH YEAR]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Mar>
              <w:top w:type="dxa" w:w="60"/>
              <w:left w:type="dxa" w:w="100"/>
              <w:bottom w:type="dxa" w:w="60"/>
              <w:right w:type="dxa" w:w="100"/>
            </w:tcMar>
          </w:tcPr>
          <w:p>
            <w:pPr>
              <w:spacing w:after="0" w:line="260"/>
            </w:pPr>
            <w:r>
              <w:rPr>
                <w:rFonts w:ascii="Arial" w:cs="Arial" w:eastAsia="Arial" w:hAnsi="Arial"/>
                <w:b/>
                <w:bCs/>
                <w:color w:val="1F3A5F"/>
                <w:sz w:val="18"/>
                <w:szCs w:val="18"/>
              </w:rPr>
              <w:t xml:space="preserve">Prepared by</w:t>
            </w:r>
          </w:p>
        </w:tc>
        <w:tc>
          <w:tcPr>
            <w:tcW w:type="dxa" w:w="6426"/>
            <w:tcMar>
              <w:top w:type="dxa" w:w="60"/>
              <w:left w:type="dxa" w:w="100"/>
              <w:bottom w:type="dxa" w:w="60"/>
              <w:right w:type="dxa" w:w="100"/>
            </w:tcMar>
          </w:tcPr>
          <w:p>
            <w:pPr>
              <w:spacing w:after="0" w:line="260"/>
            </w:pPr>
            <w:r>
              <w:rPr>
                <w:rFonts w:ascii="Arial" w:cs="Arial" w:eastAsia="Arial" w:hAnsi="Arial"/>
                <w:i/>
                <w:iCs/>
                <w:color w:val="595959"/>
                <w:sz w:val="18"/>
                <w:szCs w:val="18"/>
              </w:rPr>
              <w:t xml:space="preserve">[Name, title]</w:t>
            </w:r>
          </w:p>
        </w:tc>
      </w:tr>
      <w:tr>
        <w:tc>
          <w:tcPr>
            <w:tcW w:type="dxa" w:w="2600"/>
            <w:shd w:fill="EEF3F7" w:color="auto" w:val="clear"/>
            <w:tcMar>
              <w:top w:type="dxa" w:w="60"/>
              <w:left w:type="dxa" w:w="100"/>
              <w:bottom w:type="dxa" w:w="60"/>
              <w:right w:type="dxa" w:w="100"/>
            </w:tcMar>
          </w:tcPr>
          <w:p>
            <w:pPr>
              <w:spacing w:after="0" w:line="260"/>
            </w:pPr>
            <w:r>
              <w:rPr>
                <w:rFonts w:ascii="Arial" w:cs="Arial" w:eastAsia="Arial" w:hAnsi="Arial"/>
                <w:b/>
                <w:bCs/>
                <w:color w:val="1F3A5F"/>
                <w:sz w:val="18"/>
                <w:szCs w:val="18"/>
              </w:rPr>
              <w:t xml:space="preserve">Reviewed by</w:t>
            </w:r>
          </w:p>
        </w:tc>
        <w:tc>
          <w:tcPr>
            <w:tcW w:type="dxa" w:w="6426"/>
            <w:shd w:fill="EEF3F7" w:color="auto" w:val="clear"/>
            <w:tcMar>
              <w:top w:type="dxa" w:w="60"/>
              <w:left w:type="dxa" w:w="100"/>
              <w:bottom w:type="dxa" w:w="60"/>
              <w:right w:type="dxa" w:w="100"/>
            </w:tcMar>
          </w:tcPr>
          <w:p>
            <w:pPr>
              <w:spacing w:after="0" w:line="260"/>
            </w:pPr>
            <w:r>
              <w:rPr>
                <w:rFonts w:ascii="Arial" w:cs="Arial" w:eastAsia="Arial" w:hAnsi="Arial"/>
                <w:i/>
                <w:iCs/>
                <w:color w:val="595959"/>
                <w:sz w:val="18"/>
                <w:szCs w:val="18"/>
              </w:rPr>
              <w:t xml:space="preserve">[Name, title]</w:t>
            </w:r>
          </w:p>
        </w:tc>
      </w:tr>
      <w:tr>
        <w:tc>
          <w:tcPr>
            <w:tcW w:type="dxa" w:w="2600"/>
            <w:tcMar>
              <w:top w:type="dxa" w:w="60"/>
              <w:left w:type="dxa" w:w="100"/>
              <w:bottom w:type="dxa" w:w="60"/>
              <w:right w:type="dxa" w:w="100"/>
            </w:tcMar>
          </w:tcPr>
          <w:p>
            <w:pPr>
              <w:spacing w:after="0" w:line="260"/>
            </w:pPr>
            <w:r>
              <w:rPr>
                <w:rFonts w:ascii="Arial" w:cs="Arial" w:eastAsia="Arial" w:hAnsi="Arial"/>
                <w:b/>
                <w:bCs/>
                <w:color w:val="1F3A5F"/>
                <w:sz w:val="18"/>
                <w:szCs w:val="18"/>
              </w:rPr>
              <w:t xml:space="preserve">Date circulated</w:t>
            </w:r>
          </w:p>
        </w:tc>
        <w:tc>
          <w:tcPr>
            <w:tcW w:type="dxa" w:w="6426"/>
            <w:tcMar>
              <w:top w:type="dxa" w:w="60"/>
              <w:left w:type="dxa" w:w="100"/>
              <w:bottom w:type="dxa" w:w="60"/>
              <w:right w:type="dxa" w:w="100"/>
            </w:tcMar>
          </w:tcPr>
          <w:p>
            <w:pPr>
              <w:spacing w:after="0" w:line="260"/>
            </w:pPr>
            <w:r>
              <w:rPr>
                <w:rFonts w:ascii="Arial" w:cs="Arial" w:eastAsia="Arial" w:hAnsi="Arial"/>
                <w:i/>
                <w:iCs/>
                <w:color w:val="595959"/>
                <w:sz w:val="18"/>
                <w:szCs w:val="18"/>
              </w:rPr>
              <w:t xml:space="preserve">[DD Month YYYY]</w:t>
            </w:r>
          </w:p>
        </w:tc>
      </w:tr>
      <w:tr>
        <w:tc>
          <w:tcPr>
            <w:tcW w:type="dxa" w:w="2600"/>
            <w:shd w:fill="EEF3F7" w:color="auto" w:val="clear"/>
            <w:tcMar>
              <w:top w:type="dxa" w:w="60"/>
              <w:left w:type="dxa" w:w="100"/>
              <w:bottom w:type="dxa" w:w="60"/>
              <w:right w:type="dxa" w:w="100"/>
            </w:tcMar>
          </w:tcPr>
          <w:p>
            <w:pPr>
              <w:spacing w:after="0" w:line="260"/>
            </w:pPr>
            <w:r>
              <w:rPr>
                <w:rFonts w:ascii="Arial" w:cs="Arial" w:eastAsia="Arial" w:hAnsi="Arial"/>
                <w:b/>
                <w:bCs/>
                <w:color w:val="1F3A5F"/>
                <w:sz w:val="18"/>
                <w:szCs w:val="18"/>
              </w:rPr>
              <w:t xml:space="preserve">Board meeting date</w:t>
            </w:r>
          </w:p>
        </w:tc>
        <w:tc>
          <w:tcPr>
            <w:tcW w:type="dxa" w:w="6426"/>
            <w:shd w:fill="EEF3F7" w:color="auto" w:val="clear"/>
            <w:tcMar>
              <w:top w:type="dxa" w:w="60"/>
              <w:left w:type="dxa" w:w="100"/>
              <w:bottom w:type="dxa" w:w="60"/>
              <w:right w:type="dxa" w:w="100"/>
            </w:tcMar>
          </w:tcPr>
          <w:p>
            <w:pPr>
              <w:spacing w:after="0" w:line="260"/>
            </w:pPr>
            <w:r>
              <w:rPr>
                <w:rFonts w:ascii="Arial" w:cs="Arial" w:eastAsia="Arial" w:hAnsi="Arial"/>
                <w:i/>
                <w:iCs/>
                <w:color w:val="595959"/>
                <w:sz w:val="18"/>
                <w:szCs w:val="18"/>
              </w:rPr>
              <w:t xml:space="preserve">[DD Month YYYY]</w:t>
            </w:r>
          </w:p>
        </w:tc>
      </w:tr>
      <w:tr>
        <w:tc>
          <w:tcPr>
            <w:tcW w:type="dxa" w:w="2600"/>
            <w:tcMar>
              <w:top w:type="dxa" w:w="60"/>
              <w:left w:type="dxa" w:w="100"/>
              <w:bottom w:type="dxa" w:w="60"/>
              <w:right w:type="dxa" w:w="100"/>
            </w:tcMar>
          </w:tcPr>
          <w:p>
            <w:pPr>
              <w:spacing w:after="0" w:line="260"/>
            </w:pPr>
            <w:r>
              <w:rPr>
                <w:rFonts w:ascii="Arial" w:cs="Arial" w:eastAsia="Arial" w:hAnsi="Arial"/>
                <w:b/>
                <w:bCs/>
                <w:color w:val="1F3A5F"/>
                <w:sz w:val="18"/>
                <w:szCs w:val="18"/>
              </w:rPr>
              <w:t xml:space="preserve">Basis of preparation</w:t>
            </w:r>
          </w:p>
        </w:tc>
        <w:tc>
          <w:tcPr>
            <w:tcW w:type="dxa" w:w="6426"/>
            <w:tcMar>
              <w:top w:type="dxa" w:w="60"/>
              <w:left w:type="dxa" w:w="100"/>
              <w:bottom w:type="dxa" w:w="60"/>
              <w:right w:type="dxa" w:w="100"/>
            </w:tcMar>
          </w:tcPr>
          <w:p>
            <w:pPr>
              <w:spacing w:after="0" w:line="260"/>
            </w:pPr>
            <w:r>
              <w:rPr>
                <w:rFonts w:ascii="Arial" w:cs="Arial" w:eastAsia="Arial" w:hAnsi="Arial"/>
                <w:i/>
                <w:iCs/>
                <w:color w:val="595959"/>
                <w:sz w:val="18"/>
                <w:szCs w:val="18"/>
              </w:rPr>
              <w:t xml:space="preserve">[Management accounts, unaudited]</w:t>
            </w:r>
          </w:p>
        </w:tc>
      </w:tr>
    </w:tbl>
    <w:p>
      <w:pPr>
        <w:spacing w:before="600"/>
      </w:pPr>
    </w:p>
    <w:p>
      <w:pPr>
        <w:spacing w:after="120" w:line="276"/>
      </w:pPr>
      <w:r>
        <w:rPr>
          <w:rFonts w:ascii="Arial" w:cs="Arial" w:eastAsia="Arial" w:hAnsi="Arial"/>
          <w:i/>
          <w:iCs/>
          <w:color w:val="595959"/>
          <w:sz w:val="16"/>
          <w:szCs w:val="16"/>
        </w:rPr>
        <w:t xml:space="preserve">Private and confidential. Prepared for the directors of [Company Name] only. Not for distribution.</w:t>
      </w:r>
    </w:p>
    <w:p>
      <w:r>
        <w:br w:type="page"/>
      </w:r>
    </w:p>
    <w:p>
      <w:pPr>
        <w:pStyle w:val="Heading1"/>
        <w:pBdr>
          <w:bottom w:val="single" w:color="C9A227" w:sz="12" w:space="6"/>
        </w:pBdr>
        <w:spacing w:after="160" w:before="320"/>
      </w:pPr>
      <w:r>
        <w:rPr>
          <w:rFonts w:ascii="Arial" w:cs="Arial" w:eastAsia="Arial" w:hAnsi="Arial"/>
          <w:b/>
          <w:bCs/>
          <w:color w:val="1F3A5F"/>
          <w:sz w:val="28"/>
          <w:szCs w:val="28"/>
        </w:rPr>
        <w:t xml:space="preserve">How to use this template</w:t>
      </w:r>
    </w:p>
    <w:p>
      <w:pPr>
        <w:pBdr>
          <w:left w:val="single" w:color="0E7C7B" w:sz="12" w:space="8"/>
        </w:pBdr>
        <w:spacing w:after="160" w:line="276"/>
        <w:ind w:left="180"/>
      </w:pPr>
      <w:r>
        <w:rPr>
          <w:rFonts w:ascii="Arial" w:cs="Arial" w:eastAsia="Arial" w:hAnsi="Arial"/>
          <w:i/>
          <w:iCs/>
          <w:color w:val="0E7C7B"/>
          <w:sz w:val="18"/>
          <w:szCs w:val="18"/>
        </w:rPr>
        <w:t xml:space="preserve">Teal italic text like this is guidance. Delete every line of it before the pack goes to your board. Square brackets mark placeholders to replace.</w:t>
      </w:r>
    </w:p>
    <w:p>
      <w:pPr>
        <w:pStyle w:val="Heading2"/>
        <w:spacing w:after="120" w:before="240"/>
      </w:pPr>
      <w:r>
        <w:rPr>
          <w:rFonts w:ascii="Arial" w:cs="Arial" w:eastAsia="Arial" w:hAnsi="Arial"/>
          <w:b/>
          <w:bCs/>
          <w:color w:val="0E7C7B"/>
          <w:sz w:val="22"/>
          <w:szCs w:val="22"/>
        </w:rPr>
        <w:t xml:space="preserve">The principle</w:t>
      </w:r>
    </w:p>
    <w:p>
      <w:pPr>
        <w:spacing w:after="120" w:line="276"/>
      </w:pPr>
      <w:r>
        <w:rPr>
          <w:rFonts w:ascii="Arial" w:cs="Arial" w:eastAsia="Arial" w:hAnsi="Arial"/>
          <w:color w:val="000000"/>
          <w:sz w:val="20"/>
          <w:szCs w:val="20"/>
        </w:rPr>
        <w:t xml:space="preserve">A board pack is not a set of financial statements with a cover page. It is a decision document. The directors have limited time and are trying to answer three questions: is the business on plan, what has changed since last month, and what do they need to decide today. Structure everything around those three questions and the pack writes itself.</w:t>
      </w:r>
    </w:p>
    <w:p>
      <w:pPr>
        <w:pStyle w:val="Heading2"/>
        <w:spacing w:after="120" w:before="240"/>
      </w:pPr>
      <w:r>
        <w:rPr>
          <w:rFonts w:ascii="Arial" w:cs="Arial" w:eastAsia="Arial" w:hAnsi="Arial"/>
          <w:b/>
          <w:bCs/>
          <w:color w:val="0E7C7B"/>
          <w:sz w:val="22"/>
          <w:szCs w:val="22"/>
        </w:rPr>
        <w:t xml:space="preserve">Three rules that separate a good pack from a bad one</w:t>
      </w:r>
    </w:p>
    <w:p>
      <w:pPr>
        <w:pStyle w:val="ListParagraph"/>
        <w:numPr>
          <w:ilvl w:val="0"/>
          <w:numId w:val="2"/>
        </w:numPr>
        <w:spacing w:after="80" w:line="276"/>
      </w:pPr>
      <w:r>
        <w:rPr>
          <w:rFonts w:ascii="Arial" w:cs="Arial" w:eastAsia="Arial" w:hAnsi="Arial"/>
          <w:sz w:val="20"/>
          <w:szCs w:val="20"/>
        </w:rPr>
        <w:t xml:space="preserve">Explain causes, not movements. "Gross margin fell 3.2 points" is data. "Gross margin fell 3.2 points because we absorbed a freight increase on the Mombasa route rather than repricing" is information. Only the second is useful.</w:t>
      </w:r>
    </w:p>
    <w:p>
      <w:pPr>
        <w:pStyle w:val="ListParagraph"/>
        <w:numPr>
          <w:ilvl w:val="0"/>
          <w:numId w:val="2"/>
        </w:numPr>
        <w:spacing w:after="80" w:line="276"/>
      </w:pPr>
      <w:r>
        <w:rPr>
          <w:rFonts w:ascii="Arial" w:cs="Arial" w:eastAsia="Arial" w:hAnsi="Arial"/>
          <w:sz w:val="20"/>
          <w:szCs w:val="20"/>
        </w:rPr>
        <w:t xml:space="preserve">Lead with the answer. Every section opens with the conclusion, then supports it. Directors who read only the first line of each section should still leave the meeting correctly informed.</w:t>
      </w:r>
    </w:p>
    <w:p>
      <w:pPr>
        <w:pStyle w:val="ListParagraph"/>
        <w:numPr>
          <w:ilvl w:val="0"/>
          <w:numId w:val="2"/>
        </w:numPr>
        <w:spacing w:after="80" w:line="276"/>
      </w:pPr>
      <w:r>
        <w:rPr>
          <w:rFonts w:ascii="Arial" w:cs="Arial" w:eastAsia="Arial" w:hAnsi="Arial"/>
          <w:sz w:val="20"/>
          <w:szCs w:val="20"/>
        </w:rPr>
        <w:t xml:space="preserve">Never bury a problem. A board that discovers a problem you knew about and did not flag will stop trusting the pack entirely, including the parts that are fine.</w:t>
      </w:r>
    </w:p>
    <w:p>
      <w:pPr>
        <w:pStyle w:val="Heading2"/>
        <w:spacing w:after="120" w:before="240"/>
      </w:pPr>
      <w:r>
        <w:rPr>
          <w:rFonts w:ascii="Arial" w:cs="Arial" w:eastAsia="Arial" w:hAnsi="Arial"/>
          <w:b/>
          <w:bCs/>
          <w:color w:val="0E7C7B"/>
          <w:sz w:val="22"/>
          <w:szCs w:val="22"/>
        </w:rPr>
        <w:t xml:space="preserve">Timing</w:t>
      </w:r>
    </w:p>
    <w:p>
      <w:pPr>
        <w:spacing w:after="120" w:line="276"/>
      </w:pPr>
      <w:r>
        <w:rPr>
          <w:rFonts w:ascii="Arial" w:cs="Arial" w:eastAsia="Arial" w:hAnsi="Arial"/>
          <w:color w:val="000000"/>
          <w:sz w:val="20"/>
          <w:szCs w:val="20"/>
        </w:rPr>
        <w:t xml:space="preserve">Circulate at least three working days before the meeting. A pack handed out in the room is a pack nobody has read, and the meeting becomes a presentation instead of a discussion.</w:t>
      </w:r>
    </w:p>
    <w:p>
      <w:pPr>
        <w:pStyle w:val="Heading2"/>
        <w:spacing w:after="120" w:before="240"/>
      </w:pPr>
      <w:r>
        <w:rPr>
          <w:rFonts w:ascii="Arial" w:cs="Arial" w:eastAsia="Arial" w:hAnsi="Arial"/>
          <w:b/>
          <w:bCs/>
          <w:color w:val="0E7C7B"/>
          <w:sz w:val="22"/>
          <w:szCs w:val="22"/>
        </w:rPr>
        <w:t xml:space="preserve">Length</w:t>
      </w:r>
    </w:p>
    <w:p>
      <w:pPr>
        <w:spacing w:after="120" w:line="276"/>
      </w:pPr>
      <w:r>
        <w:rPr>
          <w:rFonts w:ascii="Arial" w:cs="Arial" w:eastAsia="Arial" w:hAnsi="Arial"/>
          <w:color w:val="000000"/>
          <w:sz w:val="20"/>
          <w:szCs w:val="20"/>
        </w:rPr>
        <w:t xml:space="preserve">Six to ten pages. If a supporting schedule runs longer than a page, it belongs in an appendix or a data room, not in the body.</w:t>
      </w:r>
    </w:p>
    <w:p>
      <w:r>
        <w:br w:type="page"/>
      </w:r>
    </w:p>
    <w:p>
      <w:pPr>
        <w:pStyle w:val="Heading1"/>
        <w:pBdr>
          <w:bottom w:val="single" w:color="C9A227" w:sz="12" w:space="6"/>
        </w:pBdr>
        <w:spacing w:after="160" w:before="320"/>
      </w:pPr>
      <w:r>
        <w:rPr>
          <w:rFonts w:ascii="Arial" w:cs="Arial" w:eastAsia="Arial" w:hAnsi="Arial"/>
          <w:b/>
          <w:bCs/>
          <w:color w:val="1F3A5F"/>
          <w:sz w:val="28"/>
          <w:szCs w:val="28"/>
        </w:rPr>
        <w:t xml:space="preserve">Contents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6426"/>
        <w:gridCol w:w="2000"/>
      </w:tblGrid>
      <w:tr>
        <w:trPr>
          <w:tblHeader/>
        </w:trPr>
        <w:tc>
          <w:tcPr>
            <w:tcW w:type="dxa" w:w="600"/>
            <w:shd w:fill="1F3A5F" w:color="auto" w:val="clear"/>
            <w:tcMar>
              <w:top w:type="dxa" w:w="60"/>
              <w:left w:type="dxa" w:w="100"/>
              <w:bottom w:type="dxa" w:w="60"/>
              <w:right w:type="dxa" w:w="100"/>
            </w:tcMar>
          </w:tcPr>
          <w:p>
            <w:pPr>
              <w:spacing w:after="0" w:line="260"/>
            </w:pPr>
            <w:r>
              <w:rPr>
                <w:rFonts w:ascii="Arial" w:cs="Arial" w:eastAsia="Arial" w:hAnsi="Arial"/>
                <w:b/>
                <w:bCs/>
                <w:color w:val="FFFFFF"/>
                <w:sz w:val="18"/>
                <w:szCs w:val="18"/>
              </w:rPr>
              <w:t xml:space="preserve"/>
            </w:r>
          </w:p>
        </w:tc>
        <w:tc>
          <w:tcPr>
            <w:tcW w:type="dxa" w:w="6426"/>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Section</w:t>
            </w:r>
          </w:p>
        </w:tc>
        <w:tc>
          <w:tcPr>
            <w:tcW w:type="dxa" w:w="20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Page</w:t>
            </w:r>
          </w:p>
        </w:tc>
      </w:tr>
      <w:tr>
        <w:tc>
          <w:tcPr>
            <w:tcW w:type="dxa" w:w="6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1</w:t>
            </w:r>
          </w:p>
        </w:tc>
        <w:tc>
          <w:tcPr>
            <w:tcW w:type="dxa" w:w="6426"/>
            <w:tcMar>
              <w:top w:type="dxa" w:w="60"/>
              <w:left w:type="dxa" w:w="100"/>
              <w:bottom w:type="dxa" w:w="60"/>
              <w:right w:type="dxa" w:w="100"/>
            </w:tcMar>
          </w:tcPr>
          <w:p>
            <w:pPr>
              <w:spacing w:after="0" w:line="260"/>
              <w:jc w:val="center"/>
            </w:pPr>
            <w:r>
              <w:rPr>
                <w:rFonts w:ascii="Arial" w:cs="Arial" w:eastAsia="Arial" w:hAnsi="Arial"/>
                <w:i w:val="false"/>
                <w:iCs w:val="false"/>
                <w:color w:val="000000"/>
                <w:sz w:val="18"/>
                <w:szCs w:val="18"/>
              </w:rPr>
              <w:t xml:space="preserve">Executive summary</w:t>
            </w:r>
          </w:p>
        </w:tc>
        <w:tc>
          <w:tcPr>
            <w:tcW w:type="dxa" w:w="2000"/>
            <w:tcMar>
              <w:top w:type="dxa" w:w="60"/>
              <w:left w:type="dxa" w:w="100"/>
              <w:bottom w:type="dxa" w:w="60"/>
              <w:right w:type="dxa" w:w="100"/>
            </w:tcMar>
          </w:tcPr>
          <w:p>
            <w:pPr>
              <w:spacing w:after="0" w:line="260"/>
              <w:jc w:val="center"/>
            </w:pPr>
            <w:r>
              <w:rPr>
                <w:rFonts w:ascii="Arial" w:cs="Arial" w:eastAsia="Arial" w:hAnsi="Arial"/>
                <w:i w:val="false"/>
                <w:iCs w:val="false"/>
                <w:color w:val="000000"/>
                <w:sz w:val="18"/>
                <w:szCs w:val="18"/>
              </w:rPr>
              <w:t xml:space="preserve">3</w:t>
            </w:r>
          </w:p>
        </w:tc>
      </w:tr>
      <w:tr>
        <w:tc>
          <w:tcPr>
            <w:tcW w:type="dxa" w:w="6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2</w:t>
            </w:r>
          </w:p>
        </w:tc>
        <w:tc>
          <w:tcPr>
            <w:tcW w:type="dxa" w:w="6426"/>
            <w:shd w:fill="EEF3F7" w:color="auto" w:val="clear"/>
            <w:tcMar>
              <w:top w:type="dxa" w:w="60"/>
              <w:left w:type="dxa" w:w="100"/>
              <w:bottom w:type="dxa" w:w="60"/>
              <w:right w:type="dxa" w:w="100"/>
            </w:tcMar>
          </w:tcPr>
          <w:p>
            <w:pPr>
              <w:spacing w:after="0" w:line="260"/>
              <w:jc w:val="center"/>
            </w:pPr>
            <w:r>
              <w:rPr>
                <w:rFonts w:ascii="Arial" w:cs="Arial" w:eastAsia="Arial" w:hAnsi="Arial"/>
                <w:i w:val="false"/>
                <w:iCs w:val="false"/>
                <w:color w:val="000000"/>
                <w:sz w:val="18"/>
                <w:szCs w:val="18"/>
              </w:rPr>
              <w:t xml:space="preserve">Financial performance</w:t>
            </w:r>
          </w:p>
        </w:tc>
        <w:tc>
          <w:tcPr>
            <w:tcW w:type="dxa" w:w="2000"/>
            <w:shd w:fill="EEF3F7" w:color="auto" w:val="clear"/>
            <w:tcMar>
              <w:top w:type="dxa" w:w="60"/>
              <w:left w:type="dxa" w:w="100"/>
              <w:bottom w:type="dxa" w:w="60"/>
              <w:right w:type="dxa" w:w="100"/>
            </w:tcMar>
          </w:tcPr>
          <w:p>
            <w:pPr>
              <w:spacing w:after="0" w:line="260"/>
              <w:jc w:val="center"/>
            </w:pPr>
            <w:r>
              <w:rPr>
                <w:rFonts w:ascii="Arial" w:cs="Arial" w:eastAsia="Arial" w:hAnsi="Arial"/>
                <w:i w:val="false"/>
                <w:iCs w:val="false"/>
                <w:color w:val="000000"/>
                <w:sz w:val="18"/>
                <w:szCs w:val="18"/>
              </w:rPr>
              <w:t xml:space="preserve">4</w:t>
            </w:r>
          </w:p>
        </w:tc>
      </w:tr>
      <w:tr>
        <w:tc>
          <w:tcPr>
            <w:tcW w:type="dxa" w:w="6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3</w:t>
            </w:r>
          </w:p>
        </w:tc>
        <w:tc>
          <w:tcPr>
            <w:tcW w:type="dxa" w:w="6426"/>
            <w:tcMar>
              <w:top w:type="dxa" w:w="60"/>
              <w:left w:type="dxa" w:w="100"/>
              <w:bottom w:type="dxa" w:w="60"/>
              <w:right w:type="dxa" w:w="100"/>
            </w:tcMar>
          </w:tcPr>
          <w:p>
            <w:pPr>
              <w:spacing w:after="0" w:line="260"/>
              <w:jc w:val="center"/>
            </w:pPr>
            <w:r>
              <w:rPr>
                <w:rFonts w:ascii="Arial" w:cs="Arial" w:eastAsia="Arial" w:hAnsi="Arial"/>
                <w:i w:val="false"/>
                <w:iCs w:val="false"/>
                <w:color w:val="000000"/>
                <w:sz w:val="18"/>
                <w:szCs w:val="18"/>
              </w:rPr>
              <w:t xml:space="preserve">Cash and balance sheet</w:t>
            </w:r>
          </w:p>
        </w:tc>
        <w:tc>
          <w:tcPr>
            <w:tcW w:type="dxa" w:w="2000"/>
            <w:tcMar>
              <w:top w:type="dxa" w:w="60"/>
              <w:left w:type="dxa" w:w="100"/>
              <w:bottom w:type="dxa" w:w="60"/>
              <w:right w:type="dxa" w:w="100"/>
            </w:tcMar>
          </w:tcPr>
          <w:p>
            <w:pPr>
              <w:spacing w:after="0" w:line="260"/>
              <w:jc w:val="center"/>
            </w:pPr>
            <w:r>
              <w:rPr>
                <w:rFonts w:ascii="Arial" w:cs="Arial" w:eastAsia="Arial" w:hAnsi="Arial"/>
                <w:i w:val="false"/>
                <w:iCs w:val="false"/>
                <w:color w:val="000000"/>
                <w:sz w:val="18"/>
                <w:szCs w:val="18"/>
              </w:rPr>
              <w:t xml:space="preserve">5</w:t>
            </w:r>
          </w:p>
        </w:tc>
      </w:tr>
      <w:tr>
        <w:tc>
          <w:tcPr>
            <w:tcW w:type="dxa" w:w="6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4</w:t>
            </w:r>
          </w:p>
        </w:tc>
        <w:tc>
          <w:tcPr>
            <w:tcW w:type="dxa" w:w="6426"/>
            <w:shd w:fill="EEF3F7" w:color="auto" w:val="clear"/>
            <w:tcMar>
              <w:top w:type="dxa" w:w="60"/>
              <w:left w:type="dxa" w:w="100"/>
              <w:bottom w:type="dxa" w:w="60"/>
              <w:right w:type="dxa" w:w="100"/>
            </w:tcMar>
          </w:tcPr>
          <w:p>
            <w:pPr>
              <w:spacing w:after="0" w:line="260"/>
              <w:jc w:val="center"/>
            </w:pPr>
            <w:r>
              <w:rPr>
                <w:rFonts w:ascii="Arial" w:cs="Arial" w:eastAsia="Arial" w:hAnsi="Arial"/>
                <w:i w:val="false"/>
                <w:iCs w:val="false"/>
                <w:color w:val="000000"/>
                <w:sz w:val="18"/>
                <w:szCs w:val="18"/>
              </w:rPr>
              <w:t xml:space="preserve">Operating KPIs</w:t>
            </w:r>
          </w:p>
        </w:tc>
        <w:tc>
          <w:tcPr>
            <w:tcW w:type="dxa" w:w="2000"/>
            <w:shd w:fill="EEF3F7" w:color="auto" w:val="clear"/>
            <w:tcMar>
              <w:top w:type="dxa" w:w="60"/>
              <w:left w:type="dxa" w:w="100"/>
              <w:bottom w:type="dxa" w:w="60"/>
              <w:right w:type="dxa" w:w="100"/>
            </w:tcMar>
          </w:tcPr>
          <w:p>
            <w:pPr>
              <w:spacing w:after="0" w:line="260"/>
              <w:jc w:val="center"/>
            </w:pPr>
            <w:r>
              <w:rPr>
                <w:rFonts w:ascii="Arial" w:cs="Arial" w:eastAsia="Arial" w:hAnsi="Arial"/>
                <w:i w:val="false"/>
                <w:iCs w:val="false"/>
                <w:color w:val="000000"/>
                <w:sz w:val="18"/>
                <w:szCs w:val="18"/>
              </w:rPr>
              <w:t xml:space="preserve">6</w:t>
            </w:r>
          </w:p>
        </w:tc>
      </w:tr>
      <w:tr>
        <w:tc>
          <w:tcPr>
            <w:tcW w:type="dxa" w:w="6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5</w:t>
            </w:r>
          </w:p>
        </w:tc>
        <w:tc>
          <w:tcPr>
            <w:tcW w:type="dxa" w:w="6426"/>
            <w:tcMar>
              <w:top w:type="dxa" w:w="60"/>
              <w:left w:type="dxa" w:w="100"/>
              <w:bottom w:type="dxa" w:w="60"/>
              <w:right w:type="dxa" w:w="100"/>
            </w:tcMar>
          </w:tcPr>
          <w:p>
            <w:pPr>
              <w:spacing w:after="0" w:line="260"/>
              <w:jc w:val="center"/>
            </w:pPr>
            <w:r>
              <w:rPr>
                <w:rFonts w:ascii="Arial" w:cs="Arial" w:eastAsia="Arial" w:hAnsi="Arial"/>
                <w:i w:val="false"/>
                <w:iCs w:val="false"/>
                <w:color w:val="000000"/>
                <w:sz w:val="18"/>
                <w:szCs w:val="18"/>
              </w:rPr>
              <w:t xml:space="preserve">Risks and mitigations</w:t>
            </w:r>
          </w:p>
        </w:tc>
        <w:tc>
          <w:tcPr>
            <w:tcW w:type="dxa" w:w="2000"/>
            <w:tcMar>
              <w:top w:type="dxa" w:w="60"/>
              <w:left w:type="dxa" w:w="100"/>
              <w:bottom w:type="dxa" w:w="60"/>
              <w:right w:type="dxa" w:w="100"/>
            </w:tcMar>
          </w:tcPr>
          <w:p>
            <w:pPr>
              <w:spacing w:after="0" w:line="260"/>
              <w:jc w:val="center"/>
            </w:pPr>
            <w:r>
              <w:rPr>
                <w:rFonts w:ascii="Arial" w:cs="Arial" w:eastAsia="Arial" w:hAnsi="Arial"/>
                <w:i w:val="false"/>
                <w:iCs w:val="false"/>
                <w:color w:val="000000"/>
                <w:sz w:val="18"/>
                <w:szCs w:val="18"/>
              </w:rPr>
              <w:t xml:space="preserve">7</w:t>
            </w:r>
          </w:p>
        </w:tc>
      </w:tr>
      <w:tr>
        <w:tc>
          <w:tcPr>
            <w:tcW w:type="dxa" w:w="6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6</w:t>
            </w:r>
          </w:p>
        </w:tc>
        <w:tc>
          <w:tcPr>
            <w:tcW w:type="dxa" w:w="6426"/>
            <w:shd w:fill="EEF3F7" w:color="auto" w:val="clear"/>
            <w:tcMar>
              <w:top w:type="dxa" w:w="60"/>
              <w:left w:type="dxa" w:w="100"/>
              <w:bottom w:type="dxa" w:w="60"/>
              <w:right w:type="dxa" w:w="100"/>
            </w:tcMar>
          </w:tcPr>
          <w:p>
            <w:pPr>
              <w:spacing w:after="0" w:line="260"/>
              <w:jc w:val="center"/>
            </w:pPr>
            <w:r>
              <w:rPr>
                <w:rFonts w:ascii="Arial" w:cs="Arial" w:eastAsia="Arial" w:hAnsi="Arial"/>
                <w:i w:val="false"/>
                <w:iCs w:val="false"/>
                <w:color w:val="000000"/>
                <w:sz w:val="18"/>
                <w:szCs w:val="18"/>
              </w:rPr>
              <w:t xml:space="preserve">Decisions required from the board</w:t>
            </w:r>
          </w:p>
        </w:tc>
        <w:tc>
          <w:tcPr>
            <w:tcW w:type="dxa" w:w="2000"/>
            <w:shd w:fill="EEF3F7" w:color="auto" w:val="clear"/>
            <w:tcMar>
              <w:top w:type="dxa" w:w="60"/>
              <w:left w:type="dxa" w:w="100"/>
              <w:bottom w:type="dxa" w:w="60"/>
              <w:right w:type="dxa" w:w="100"/>
            </w:tcMar>
          </w:tcPr>
          <w:p>
            <w:pPr>
              <w:spacing w:after="0" w:line="260"/>
              <w:jc w:val="center"/>
            </w:pPr>
            <w:r>
              <w:rPr>
                <w:rFonts w:ascii="Arial" w:cs="Arial" w:eastAsia="Arial" w:hAnsi="Arial"/>
                <w:i w:val="false"/>
                <w:iCs w:val="false"/>
                <w:color w:val="000000"/>
                <w:sz w:val="18"/>
                <w:szCs w:val="18"/>
              </w:rPr>
              <w:t xml:space="preserve">8</w:t>
            </w:r>
          </w:p>
        </w:tc>
      </w:tr>
      <w:tr>
        <w:tc>
          <w:tcPr>
            <w:tcW w:type="dxa" w:w="6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A</w:t>
            </w:r>
          </w:p>
        </w:tc>
        <w:tc>
          <w:tcPr>
            <w:tcW w:type="dxa" w:w="6426"/>
            <w:tcMar>
              <w:top w:type="dxa" w:w="60"/>
              <w:left w:type="dxa" w:w="100"/>
              <w:bottom w:type="dxa" w:w="60"/>
              <w:right w:type="dxa" w:w="100"/>
            </w:tcMar>
          </w:tcPr>
          <w:p>
            <w:pPr>
              <w:spacing w:after="0" w:line="260"/>
              <w:jc w:val="center"/>
            </w:pPr>
            <w:r>
              <w:rPr>
                <w:rFonts w:ascii="Arial" w:cs="Arial" w:eastAsia="Arial" w:hAnsi="Arial"/>
                <w:i w:val="false"/>
                <w:iCs w:val="false"/>
                <w:color w:val="000000"/>
                <w:sz w:val="18"/>
                <w:szCs w:val="18"/>
              </w:rPr>
              <w:t xml:space="preserve">Appendix: statutory compliance status</w:t>
            </w:r>
          </w:p>
        </w:tc>
        <w:tc>
          <w:tcPr>
            <w:tcW w:type="dxa" w:w="2000"/>
            <w:tcMar>
              <w:top w:type="dxa" w:w="60"/>
              <w:left w:type="dxa" w:w="100"/>
              <w:bottom w:type="dxa" w:w="60"/>
              <w:right w:type="dxa" w:w="100"/>
            </w:tcMar>
          </w:tcPr>
          <w:p>
            <w:pPr>
              <w:spacing w:after="0" w:line="260"/>
              <w:jc w:val="center"/>
            </w:pPr>
            <w:r>
              <w:rPr>
                <w:rFonts w:ascii="Arial" w:cs="Arial" w:eastAsia="Arial" w:hAnsi="Arial"/>
                <w:i w:val="false"/>
                <w:iCs w:val="false"/>
                <w:color w:val="000000"/>
                <w:sz w:val="18"/>
                <w:szCs w:val="18"/>
              </w:rPr>
              <w:t xml:space="preserve">9</w:t>
            </w:r>
          </w:p>
        </w:tc>
      </w:tr>
    </w:tbl>
    <w:p>
      <w:r>
        <w:br w:type="page"/>
      </w:r>
    </w:p>
    <w:p>
      <w:pPr>
        <w:pStyle w:val="Heading1"/>
        <w:pBdr>
          <w:bottom w:val="single" w:color="C9A227" w:sz="12" w:space="6"/>
        </w:pBdr>
        <w:spacing w:after="160" w:before="320"/>
      </w:pPr>
      <w:r>
        <w:rPr>
          <w:rFonts w:ascii="Arial" w:cs="Arial" w:eastAsia="Arial" w:hAnsi="Arial"/>
          <w:b/>
          <w:bCs/>
          <w:color w:val="1F3A5F"/>
          <w:sz w:val="28"/>
          <w:szCs w:val="28"/>
        </w:rPr>
        <w:t xml:space="preserve">1. Executive summary</w:t>
      </w:r>
    </w:p>
    <w:p>
      <w:pPr>
        <w:pBdr>
          <w:left w:val="single" w:color="0E7C7B" w:sz="12" w:space="8"/>
        </w:pBdr>
        <w:spacing w:after="160" w:line="276"/>
        <w:ind w:left="180"/>
      </w:pPr>
      <w:r>
        <w:rPr>
          <w:rFonts w:ascii="Arial" w:cs="Arial" w:eastAsia="Arial" w:hAnsi="Arial"/>
          <w:i/>
          <w:iCs/>
          <w:color w:val="0E7C7B"/>
          <w:sz w:val="18"/>
          <w:szCs w:val="18"/>
        </w:rPr>
        <w:t xml:space="preserve">Write this section last, and keep it to a single page. If a director reads nothing else, this page alone should leave them correctly informed.</w:t>
      </w:r>
    </w:p>
    <w:p>
      <w:pPr>
        <w:pStyle w:val="Heading2"/>
        <w:spacing w:after="120" w:before="240"/>
      </w:pPr>
      <w:r>
        <w:rPr>
          <w:rFonts w:ascii="Arial" w:cs="Arial" w:eastAsia="Arial" w:hAnsi="Arial"/>
          <w:b/>
          <w:bCs/>
          <w:color w:val="0E7C7B"/>
          <w:sz w:val="22"/>
          <w:szCs w:val="22"/>
        </w:rPr>
        <w:t xml:space="preserve">Headline</w:t>
      </w:r>
    </w:p>
    <w:p>
      <w:pPr>
        <w:pBdr>
          <w:left w:val="single" w:color="0E7C7B" w:sz="12" w:space="8"/>
        </w:pBdr>
        <w:spacing w:after="160" w:line="276"/>
        <w:ind w:left="180"/>
      </w:pPr>
      <w:r>
        <w:rPr>
          <w:rFonts w:ascii="Arial" w:cs="Arial" w:eastAsia="Arial" w:hAnsi="Arial"/>
          <w:i/>
          <w:iCs/>
          <w:color w:val="0E7C7B"/>
          <w:sz w:val="18"/>
          <w:szCs w:val="18"/>
        </w:rPr>
        <w:t xml:space="preserve">Two or three sentences. State the position plainly, including bad news. Example: "Revenue finished 8% below budget on a delayed contract award, but margin held and cash closed ahead of forecast. The Q4 pipeline is the material risk."</w:t>
      </w:r>
    </w:p>
    <w:p>
      <w:pPr>
        <w:spacing w:after="120" w:line="276"/>
      </w:pPr>
      <w:r>
        <w:rPr>
          <w:rFonts w:ascii="Arial" w:cs="Arial" w:eastAsia="Arial" w:hAnsi="Arial"/>
          <w:color w:val="000000"/>
          <w:sz w:val="20"/>
          <w:szCs w:val="20"/>
        </w:rPr>
        <w:t xml:space="preserve">[Headline paragraph]</w:t>
      </w:r>
    </w:p>
    <w:p>
      <w:pPr>
        <w:pStyle w:val="Heading2"/>
        <w:spacing w:after="120" w:before="240"/>
      </w:pPr>
      <w:r>
        <w:rPr>
          <w:rFonts w:ascii="Arial" w:cs="Arial" w:eastAsia="Arial" w:hAnsi="Arial"/>
          <w:b/>
          <w:bCs/>
          <w:color w:val="0E7C7B"/>
          <w:sz w:val="22"/>
          <w:szCs w:val="22"/>
        </w:rPr>
        <w:t xml:space="preserve">Performance at a glance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1500"/>
        <w:gridCol w:w="1500"/>
        <w:gridCol w:w="1500"/>
        <w:gridCol w:w="2126"/>
      </w:tblGrid>
      <w:tr>
        <w:trPr>
          <w:tblHeader/>
        </w:trPr>
        <w:tc>
          <w:tcPr>
            <w:tcW w:type="dxa" w:w="2400"/>
            <w:shd w:fill="1F3A5F" w:color="auto" w:val="clear"/>
            <w:tcMar>
              <w:top w:type="dxa" w:w="60"/>
              <w:left w:type="dxa" w:w="100"/>
              <w:bottom w:type="dxa" w:w="60"/>
              <w:right w:type="dxa" w:w="100"/>
            </w:tcMar>
          </w:tcPr>
          <w:p>
            <w:pPr>
              <w:spacing w:after="0" w:line="260"/>
            </w:pPr>
            <w:r>
              <w:rPr>
                <w:rFonts w:ascii="Arial" w:cs="Arial" w:eastAsia="Arial" w:hAnsi="Arial"/>
                <w:b/>
                <w:bCs/>
                <w:color w:val="FFFFFF"/>
                <w:sz w:val="18"/>
                <w:szCs w:val="18"/>
              </w:rPr>
              <w:t xml:space="preserve">Metric</w:t>
            </w:r>
          </w:p>
        </w:tc>
        <w:tc>
          <w:tcPr>
            <w:tcW w:type="dxa" w:w="15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Actual</w:t>
            </w:r>
          </w:p>
        </w:tc>
        <w:tc>
          <w:tcPr>
            <w:tcW w:type="dxa" w:w="15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Budget</w:t>
            </w:r>
          </w:p>
        </w:tc>
        <w:tc>
          <w:tcPr>
            <w:tcW w:type="dxa" w:w="15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Variance</w:t>
            </w:r>
          </w:p>
        </w:tc>
        <w:tc>
          <w:tcPr>
            <w:tcW w:type="dxa" w:w="2126"/>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Prior year</w:t>
            </w:r>
          </w:p>
        </w:tc>
      </w:tr>
      <w:tr>
        <w:tc>
          <w:tcPr>
            <w:tcW w:type="dxa" w:w="2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Revenue</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1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Gross profit</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1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Gross margin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1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Operating expenses</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1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EBITDA</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1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Profit before tax</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1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Closing cash</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1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bl>
    <w:p>
      <w:pPr>
        <w:spacing w:after="120" w:line="276"/>
      </w:pPr>
      <w:r>
        <w:rPr>
          <w:rFonts w:ascii="Arial" w:cs="Arial" w:eastAsia="Arial" w:hAnsi="Arial"/>
          <w:i/>
          <w:iCs/>
          <w:color w:val="595959"/>
          <w:sz w:val="16"/>
          <w:szCs w:val="16"/>
        </w:rPr>
        <w:t xml:space="preserve">All figures in KES [thousands / millions] unless stated.</w:t>
      </w:r>
    </w:p>
    <w:p>
      <w:pPr>
        <w:pStyle w:val="Heading2"/>
        <w:spacing w:after="120" w:before="240"/>
      </w:pPr>
      <w:r>
        <w:rPr>
          <w:rFonts w:ascii="Arial" w:cs="Arial" w:eastAsia="Arial" w:hAnsi="Arial"/>
          <w:b/>
          <w:bCs/>
          <w:color w:val="0E7C7B"/>
          <w:sz w:val="22"/>
          <w:szCs w:val="22"/>
        </w:rPr>
        <w:t xml:space="preserve">What went well</w:t>
      </w:r>
    </w:p>
    <w:p>
      <w:pPr>
        <w:pStyle w:val="ListParagraph"/>
        <w:numPr>
          <w:ilvl w:val="0"/>
          <w:numId w:val="2"/>
        </w:numPr>
        <w:spacing w:after="80" w:line="276"/>
      </w:pPr>
      <w:r>
        <w:rPr>
          <w:rFonts w:ascii="Arial" w:cs="Arial" w:eastAsia="Arial" w:hAnsi="Arial"/>
          <w:sz w:val="20"/>
          <w:szCs w:val="20"/>
        </w:rPr>
        <w:t xml:space="preserve">[Point one, with the number attached]</w:t>
      </w:r>
    </w:p>
    <w:p>
      <w:pPr>
        <w:pStyle w:val="ListParagraph"/>
        <w:numPr>
          <w:ilvl w:val="0"/>
          <w:numId w:val="2"/>
        </w:numPr>
        <w:spacing w:after="80" w:line="276"/>
      </w:pPr>
      <w:r>
        <w:rPr>
          <w:rFonts w:ascii="Arial" w:cs="Arial" w:eastAsia="Arial" w:hAnsi="Arial"/>
          <w:sz w:val="20"/>
          <w:szCs w:val="20"/>
        </w:rPr>
        <w:t xml:space="preserve">[Point two]</w:t>
      </w:r>
    </w:p>
    <w:p>
      <w:pPr>
        <w:pStyle w:val="ListParagraph"/>
        <w:numPr>
          <w:ilvl w:val="0"/>
          <w:numId w:val="2"/>
        </w:numPr>
        <w:spacing w:after="80" w:line="276"/>
      </w:pPr>
      <w:r>
        <w:rPr>
          <w:rFonts w:ascii="Arial" w:cs="Arial" w:eastAsia="Arial" w:hAnsi="Arial"/>
          <w:sz w:val="20"/>
          <w:szCs w:val="20"/>
        </w:rPr>
        <w:t xml:space="preserve">[Point three]</w:t>
      </w:r>
    </w:p>
    <w:p>
      <w:pPr>
        <w:pStyle w:val="Heading2"/>
        <w:spacing w:after="120" w:before="240"/>
      </w:pPr>
      <w:r>
        <w:rPr>
          <w:rFonts w:ascii="Arial" w:cs="Arial" w:eastAsia="Arial" w:hAnsi="Arial"/>
          <w:b/>
          <w:bCs/>
          <w:color w:val="0E7C7B"/>
          <w:sz w:val="22"/>
          <w:szCs w:val="22"/>
        </w:rPr>
        <w:t xml:space="preserve">What concerns us</w:t>
      </w:r>
    </w:p>
    <w:p>
      <w:pPr>
        <w:pBdr>
          <w:left w:val="single" w:color="0E7C7B" w:sz="12" w:space="8"/>
        </w:pBdr>
        <w:spacing w:after="160" w:line="276"/>
        <w:ind w:left="180"/>
      </w:pPr>
      <w:r>
        <w:rPr>
          <w:rFonts w:ascii="Arial" w:cs="Arial" w:eastAsia="Arial" w:hAnsi="Arial"/>
          <w:i/>
          <w:iCs/>
          <w:color w:val="0E7C7B"/>
          <w:sz w:val="18"/>
          <w:szCs w:val="18"/>
        </w:rPr>
        <w:t xml:space="preserve">Be specific and own it. "Collections slipped" is weak. "DSO moved from 47 to 61 days, driven by two customers representing 38% of the ledger" is what a board can act on.</w:t>
      </w:r>
    </w:p>
    <w:p>
      <w:pPr>
        <w:pStyle w:val="ListParagraph"/>
        <w:numPr>
          <w:ilvl w:val="0"/>
          <w:numId w:val="2"/>
        </w:numPr>
        <w:spacing w:after="80" w:line="276"/>
      </w:pPr>
      <w:r>
        <w:rPr>
          <w:rFonts w:ascii="Arial" w:cs="Arial" w:eastAsia="Arial" w:hAnsi="Arial"/>
          <w:sz w:val="20"/>
          <w:szCs w:val="20"/>
        </w:rPr>
        <w:t xml:space="preserve">[Concern one]</w:t>
      </w:r>
    </w:p>
    <w:p>
      <w:pPr>
        <w:pStyle w:val="ListParagraph"/>
        <w:numPr>
          <w:ilvl w:val="0"/>
          <w:numId w:val="2"/>
        </w:numPr>
        <w:spacing w:after="80" w:line="276"/>
      </w:pPr>
      <w:r>
        <w:rPr>
          <w:rFonts w:ascii="Arial" w:cs="Arial" w:eastAsia="Arial" w:hAnsi="Arial"/>
          <w:sz w:val="20"/>
          <w:szCs w:val="20"/>
        </w:rPr>
        <w:t xml:space="preserve">[Concern two]</w:t>
      </w:r>
    </w:p>
    <w:p>
      <w:pPr>
        <w:pStyle w:val="ListParagraph"/>
        <w:numPr>
          <w:ilvl w:val="0"/>
          <w:numId w:val="2"/>
        </w:numPr>
        <w:spacing w:after="80" w:line="276"/>
      </w:pPr>
      <w:r>
        <w:rPr>
          <w:rFonts w:ascii="Arial" w:cs="Arial" w:eastAsia="Arial" w:hAnsi="Arial"/>
          <w:sz w:val="20"/>
          <w:szCs w:val="20"/>
        </w:rPr>
        <w:t xml:space="preserve">[Concern three]</w:t>
      </w:r>
    </w:p>
    <w:p>
      <w:pPr>
        <w:pStyle w:val="Heading2"/>
        <w:spacing w:after="120" w:before="240"/>
      </w:pPr>
      <w:r>
        <w:rPr>
          <w:rFonts w:ascii="Arial" w:cs="Arial" w:eastAsia="Arial" w:hAnsi="Arial"/>
          <w:b/>
          <w:bCs/>
          <w:color w:val="0E7C7B"/>
          <w:sz w:val="22"/>
          <w:szCs w:val="22"/>
        </w:rPr>
        <w:t xml:space="preserve">Decisions required today</w:t>
      </w:r>
    </w:p>
    <w:p>
      <w:pPr>
        <w:pStyle w:val="ListParagraph"/>
        <w:numPr>
          <w:ilvl w:val="0"/>
          <w:numId w:val="2"/>
        </w:numPr>
        <w:spacing w:after="80" w:line="276"/>
      </w:pPr>
      <w:r>
        <w:rPr>
          <w:rFonts w:ascii="Arial" w:cs="Arial" w:eastAsia="Arial" w:hAnsi="Arial"/>
          <w:sz w:val="20"/>
          <w:szCs w:val="20"/>
        </w:rPr>
        <w:t xml:space="preserve">[Decision one — cross-referenced to section 6]</w:t>
      </w:r>
    </w:p>
    <w:p>
      <w:pPr>
        <w:pStyle w:val="ListParagraph"/>
        <w:numPr>
          <w:ilvl w:val="0"/>
          <w:numId w:val="2"/>
        </w:numPr>
        <w:spacing w:after="80" w:line="276"/>
      </w:pPr>
      <w:r>
        <w:rPr>
          <w:rFonts w:ascii="Arial" w:cs="Arial" w:eastAsia="Arial" w:hAnsi="Arial"/>
          <w:sz w:val="20"/>
          <w:szCs w:val="20"/>
        </w:rPr>
        <w:t xml:space="preserve">[Decision two]</w:t>
      </w:r>
    </w:p>
    <w:p>
      <w:r>
        <w:br w:type="page"/>
      </w:r>
    </w:p>
    <w:p>
      <w:pPr>
        <w:pStyle w:val="Heading1"/>
        <w:pBdr>
          <w:bottom w:val="single" w:color="C9A227" w:sz="12" w:space="6"/>
        </w:pBdr>
        <w:spacing w:after="160" w:before="320"/>
      </w:pPr>
      <w:r>
        <w:rPr>
          <w:rFonts w:ascii="Arial" w:cs="Arial" w:eastAsia="Arial" w:hAnsi="Arial"/>
          <w:b/>
          <w:bCs/>
          <w:color w:val="1F3A5F"/>
          <w:sz w:val="28"/>
          <w:szCs w:val="28"/>
        </w:rPr>
        <w:t xml:space="preserve">2. Financial performance</w:t>
      </w:r>
    </w:p>
    <w:p>
      <w:pPr>
        <w:pStyle w:val="Heading2"/>
        <w:spacing w:after="120" w:before="240"/>
      </w:pPr>
      <w:r>
        <w:rPr>
          <w:rFonts w:ascii="Arial" w:cs="Arial" w:eastAsia="Arial" w:hAnsi="Arial"/>
          <w:b/>
          <w:bCs/>
          <w:color w:val="0E7C7B"/>
          <w:sz w:val="22"/>
          <w:szCs w:val="22"/>
        </w:rPr>
        <w:t xml:space="preserve">Income statement summary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1500"/>
        <w:gridCol w:w="1500"/>
        <w:gridCol w:w="1500"/>
        <w:gridCol w:w="2126"/>
      </w:tblGrid>
      <w:tr>
        <w:trPr>
          <w:tblHeader/>
        </w:trPr>
        <w:tc>
          <w:tcPr>
            <w:tcW w:type="dxa" w:w="2400"/>
            <w:shd w:fill="1F3A5F" w:color="auto" w:val="clear"/>
            <w:tcMar>
              <w:top w:type="dxa" w:w="60"/>
              <w:left w:type="dxa" w:w="100"/>
              <w:bottom w:type="dxa" w:w="60"/>
              <w:right w:type="dxa" w:w="100"/>
            </w:tcMar>
          </w:tcPr>
          <w:p>
            <w:pPr>
              <w:spacing w:after="0" w:line="260"/>
            </w:pPr>
            <w:r>
              <w:rPr>
                <w:rFonts w:ascii="Arial" w:cs="Arial" w:eastAsia="Arial" w:hAnsi="Arial"/>
                <w:b/>
                <w:bCs/>
                <w:color w:val="FFFFFF"/>
                <w:sz w:val="18"/>
                <w:szCs w:val="18"/>
              </w:rPr>
              <w:t xml:space="preserve"/>
            </w:r>
          </w:p>
        </w:tc>
        <w:tc>
          <w:tcPr>
            <w:tcW w:type="dxa" w:w="15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Month actual</w:t>
            </w:r>
          </w:p>
        </w:tc>
        <w:tc>
          <w:tcPr>
            <w:tcW w:type="dxa" w:w="15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Month budget</w:t>
            </w:r>
          </w:p>
        </w:tc>
        <w:tc>
          <w:tcPr>
            <w:tcW w:type="dxa" w:w="15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YTD actual</w:t>
            </w:r>
          </w:p>
        </w:tc>
        <w:tc>
          <w:tcPr>
            <w:tcW w:type="dxa" w:w="2126"/>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YTD budget</w:t>
            </w:r>
          </w:p>
        </w:tc>
      </w:tr>
      <w:tr>
        <w:tc>
          <w:tcPr>
            <w:tcW w:type="dxa" w:w="2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Revenue</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1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Cost of sales</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1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Gross profit</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1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Gross margin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1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Staff costs</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1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Other operating costs</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1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EBITDA</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1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Depreciation &amp; amortisation</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1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Net finance costs</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1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Profit before tax</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1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bl>
    <w:p>
      <w:pPr>
        <w:pStyle w:val="Heading2"/>
        <w:spacing w:after="120" w:before="240"/>
      </w:pPr>
      <w:r>
        <w:rPr>
          <w:rFonts w:ascii="Arial" w:cs="Arial" w:eastAsia="Arial" w:hAnsi="Arial"/>
          <w:b/>
          <w:bCs/>
          <w:color w:val="0E7C7B"/>
          <w:sz w:val="22"/>
          <w:szCs w:val="22"/>
        </w:rPr>
        <w:t xml:space="preserve">Revenue commentary</w:t>
      </w:r>
    </w:p>
    <w:p>
      <w:pPr>
        <w:pBdr>
          <w:left w:val="single" w:color="0E7C7B" w:sz="12" w:space="8"/>
        </w:pBdr>
        <w:spacing w:after="160" w:line="276"/>
        <w:ind w:left="180"/>
      </w:pPr>
      <w:r>
        <w:rPr>
          <w:rFonts w:ascii="Arial" w:cs="Arial" w:eastAsia="Arial" w:hAnsi="Arial"/>
          <w:i/>
          <w:iCs/>
          <w:color w:val="0E7C7B"/>
          <w:sz w:val="18"/>
          <w:szCs w:val="18"/>
        </w:rPr>
        <w:t xml:space="preserve">Break the variance into drivers: volume, price, mix, timing. A board can act on "we lost two customers" or "we discounted to win volume". It cannot act on "revenue was down".</w:t>
      </w:r>
    </w:p>
    <w:p>
      <w:pPr>
        <w:spacing w:after="120" w:line="276"/>
      </w:pPr>
      <w:r>
        <w:rPr>
          <w:rFonts w:ascii="Arial" w:cs="Arial" w:eastAsia="Arial" w:hAnsi="Arial"/>
          <w:color w:val="000000"/>
          <w:sz w:val="20"/>
          <w:szCs w:val="20"/>
        </w:rPr>
        <w:t xml:space="preserve">[Revenue commentary]</w:t>
      </w:r>
    </w:p>
    <w:p>
      <w:pPr>
        <w:pStyle w:val="Heading2"/>
        <w:spacing w:after="120" w:before="240"/>
      </w:pPr>
      <w:r>
        <w:rPr>
          <w:rFonts w:ascii="Arial" w:cs="Arial" w:eastAsia="Arial" w:hAnsi="Arial"/>
          <w:b/>
          <w:bCs/>
          <w:color w:val="0E7C7B"/>
          <w:sz w:val="22"/>
          <w:szCs w:val="22"/>
        </w:rPr>
        <w:t xml:space="preserve">Margin commentary</w:t>
      </w:r>
    </w:p>
    <w:p>
      <w:pPr>
        <w:pBdr>
          <w:left w:val="single" w:color="0E7C7B" w:sz="12" w:space="8"/>
        </w:pBdr>
        <w:spacing w:after="160" w:line="276"/>
        <w:ind w:left="180"/>
      </w:pPr>
      <w:r>
        <w:rPr>
          <w:rFonts w:ascii="Arial" w:cs="Arial" w:eastAsia="Arial" w:hAnsi="Arial"/>
          <w:i/>
          <w:iCs/>
          <w:color w:val="0E7C7B"/>
          <w:sz w:val="18"/>
          <w:szCs w:val="18"/>
        </w:rPr>
        <w:t xml:space="preserve">If margin moved more than your materiality threshold, name the cause and say whether it is one-off or structural. Structural margin decline is the single most important thing a board can be told early.</w:t>
      </w:r>
    </w:p>
    <w:p>
      <w:pPr>
        <w:spacing w:after="120" w:line="276"/>
      </w:pPr>
      <w:r>
        <w:rPr>
          <w:rFonts w:ascii="Arial" w:cs="Arial" w:eastAsia="Arial" w:hAnsi="Arial"/>
          <w:color w:val="000000"/>
          <w:sz w:val="20"/>
          <w:szCs w:val="20"/>
        </w:rPr>
        <w:t xml:space="preserve">[Margin commentary]</w:t>
      </w:r>
    </w:p>
    <w:p>
      <w:pPr>
        <w:pStyle w:val="Heading2"/>
        <w:spacing w:after="120" w:before="240"/>
      </w:pPr>
      <w:r>
        <w:rPr>
          <w:rFonts w:ascii="Arial" w:cs="Arial" w:eastAsia="Arial" w:hAnsi="Arial"/>
          <w:b/>
          <w:bCs/>
          <w:color w:val="0E7C7B"/>
          <w:sz w:val="22"/>
          <w:szCs w:val="22"/>
        </w:rPr>
        <w:t xml:space="preserve">Cost commentary</w:t>
      </w:r>
    </w:p>
    <w:p>
      <w:pPr>
        <w:pBdr>
          <w:left w:val="single" w:color="0E7C7B" w:sz="12" w:space="8"/>
        </w:pBdr>
        <w:spacing w:after="160" w:line="276"/>
        <w:ind w:left="180"/>
      </w:pPr>
      <w:r>
        <w:rPr>
          <w:rFonts w:ascii="Arial" w:cs="Arial" w:eastAsia="Arial" w:hAnsi="Arial"/>
          <w:i/>
          <w:iCs/>
          <w:color w:val="0E7C7B"/>
          <w:sz w:val="18"/>
          <w:szCs w:val="18"/>
        </w:rPr>
        <w:t xml:space="preserve">Explain every overhead variance above your threshold. State clearly which overruns are timing differences that will reverse and which are permanent.</w:t>
      </w:r>
    </w:p>
    <w:p>
      <w:pPr>
        <w:spacing w:after="120" w:line="276"/>
      </w:pPr>
      <w:r>
        <w:rPr>
          <w:rFonts w:ascii="Arial" w:cs="Arial" w:eastAsia="Arial" w:hAnsi="Arial"/>
          <w:color w:val="000000"/>
          <w:sz w:val="20"/>
          <w:szCs w:val="20"/>
        </w:rPr>
        <w:t xml:space="preserve">[Cost commentary]</w:t>
      </w:r>
    </w:p>
    <w:p>
      <w:r>
        <w:br w:type="page"/>
      </w:r>
    </w:p>
    <w:p>
      <w:pPr>
        <w:pStyle w:val="Heading1"/>
        <w:pBdr>
          <w:bottom w:val="single" w:color="C9A227" w:sz="12" w:space="6"/>
        </w:pBdr>
        <w:spacing w:after="160" w:before="320"/>
      </w:pPr>
      <w:r>
        <w:rPr>
          <w:rFonts w:ascii="Arial" w:cs="Arial" w:eastAsia="Arial" w:hAnsi="Arial"/>
          <w:b/>
          <w:bCs/>
          <w:color w:val="1F3A5F"/>
          <w:sz w:val="28"/>
          <w:szCs w:val="28"/>
        </w:rPr>
        <w:t xml:space="preserve">3. Cash and balance sheet</w:t>
      </w:r>
    </w:p>
    <w:p>
      <w:pPr>
        <w:pStyle w:val="Heading2"/>
        <w:spacing w:after="120" w:before="240"/>
      </w:pPr>
      <w:r>
        <w:rPr>
          <w:rFonts w:ascii="Arial" w:cs="Arial" w:eastAsia="Arial" w:hAnsi="Arial"/>
          <w:b/>
          <w:bCs/>
          <w:color w:val="0E7C7B"/>
          <w:sz w:val="22"/>
          <w:szCs w:val="22"/>
        </w:rPr>
        <w:t xml:space="preserve">Cash position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1900"/>
        <w:gridCol w:w="1900"/>
        <w:gridCol w:w="1826"/>
      </w:tblGrid>
      <w:tr>
        <w:trPr>
          <w:tblHeader/>
        </w:trPr>
        <w:tc>
          <w:tcPr>
            <w:tcW w:type="dxa" w:w="3400"/>
            <w:shd w:fill="1F3A5F" w:color="auto" w:val="clear"/>
            <w:tcMar>
              <w:top w:type="dxa" w:w="60"/>
              <w:left w:type="dxa" w:w="100"/>
              <w:bottom w:type="dxa" w:w="60"/>
              <w:right w:type="dxa" w:w="100"/>
            </w:tcMar>
          </w:tcPr>
          <w:p>
            <w:pPr>
              <w:spacing w:after="0" w:line="260"/>
            </w:pPr>
            <w:r>
              <w:rPr>
                <w:rFonts w:ascii="Arial" w:cs="Arial" w:eastAsia="Arial" w:hAnsi="Arial"/>
                <w:b/>
                <w:bCs/>
                <w:color w:val="FFFFFF"/>
                <w:sz w:val="18"/>
                <w:szCs w:val="18"/>
              </w:rPr>
              <w:t xml:space="preserve"/>
            </w:r>
          </w:p>
        </w:tc>
        <w:tc>
          <w:tcPr>
            <w:tcW w:type="dxa" w:w="19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This month</w:t>
            </w:r>
          </w:p>
        </w:tc>
        <w:tc>
          <w:tcPr>
            <w:tcW w:type="dxa" w:w="19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Last month</w:t>
            </w:r>
          </w:p>
        </w:tc>
        <w:tc>
          <w:tcPr>
            <w:tcW w:type="dxa" w:w="1826"/>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Movement</w:t>
            </w:r>
          </w:p>
        </w:tc>
      </w:tr>
      <w:tr>
        <w:tc>
          <w:tcPr>
            <w:tcW w:type="dxa" w:w="3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Opening cash</w:t>
            </w:r>
          </w:p>
        </w:tc>
        <w:tc>
          <w:tcPr>
            <w:tcW w:type="dxa" w:w="19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9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8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34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Net cash from operations</w:t>
            </w:r>
          </w:p>
        </w:tc>
        <w:tc>
          <w:tcPr>
            <w:tcW w:type="dxa" w:w="19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9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8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3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Investing</w:t>
            </w:r>
          </w:p>
        </w:tc>
        <w:tc>
          <w:tcPr>
            <w:tcW w:type="dxa" w:w="19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9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8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34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Financing</w:t>
            </w:r>
          </w:p>
        </w:tc>
        <w:tc>
          <w:tcPr>
            <w:tcW w:type="dxa" w:w="19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9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8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3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Closing cash</w:t>
            </w:r>
          </w:p>
        </w:tc>
        <w:tc>
          <w:tcPr>
            <w:tcW w:type="dxa" w:w="19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9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8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34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Undrawn facilities</w:t>
            </w:r>
          </w:p>
        </w:tc>
        <w:tc>
          <w:tcPr>
            <w:tcW w:type="dxa" w:w="19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9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8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bl>
    <w:p>
      <w:pPr>
        <w:pStyle w:val="Heading2"/>
        <w:spacing w:after="120" w:before="240"/>
      </w:pPr>
      <w:r>
        <w:rPr>
          <w:rFonts w:ascii="Arial" w:cs="Arial" w:eastAsia="Arial" w:hAnsi="Arial"/>
          <w:b/>
          <w:bCs/>
          <w:color w:val="0E7C7B"/>
          <w:sz w:val="22"/>
          <w:szCs w:val="22"/>
        </w:rPr>
        <w:t xml:space="preserve">13-week cash outlook</w:t>
      </w:r>
    </w:p>
    <w:p>
      <w:pPr>
        <w:pBdr>
          <w:left w:val="single" w:color="0E7C7B" w:sz="12" w:space="8"/>
        </w:pBdr>
        <w:spacing w:after="160" w:line="276"/>
        <w:ind w:left="180"/>
      </w:pPr>
      <w:r>
        <w:rPr>
          <w:rFonts w:ascii="Arial" w:cs="Arial" w:eastAsia="Arial" w:hAnsi="Arial"/>
          <w:i/>
          <w:iCs/>
          <w:color w:val="0E7C7B"/>
          <w:sz w:val="18"/>
          <w:szCs w:val="18"/>
        </w:rPr>
        <w:t xml:space="preserve">Give the lowest projected balance, the week it occurs, and the headroom against your minimum cash floor. Pull these three figures straight from your 13-week model. If the forecast breaches the floor at any point, that fact belongs in the executive summary, not here.</w:t>
      </w:r>
    </w:p>
    <w:p>
      <w:pPr>
        <w:spacing w:after="120" w:line="276"/>
      </w:pPr>
      <w:r>
        <w:rPr>
          <w:rFonts w:ascii="Arial" w:cs="Arial" w:eastAsia="Arial" w:hAnsi="Arial"/>
          <w:color w:val="000000"/>
          <w:sz w:val="20"/>
          <w:szCs w:val="20"/>
        </w:rPr>
        <w:t xml:space="preserve">Lowest projected balance of [  ] occurs in week [  ], leaving headroom of [  ] against the minimum cash floor of [  ].</w:t>
      </w:r>
    </w:p>
    <w:p>
      <w:pPr>
        <w:pStyle w:val="Heading2"/>
        <w:spacing w:after="120" w:before="240"/>
      </w:pPr>
      <w:r>
        <w:rPr>
          <w:rFonts w:ascii="Arial" w:cs="Arial" w:eastAsia="Arial" w:hAnsi="Arial"/>
          <w:b/>
          <w:bCs/>
          <w:color w:val="0E7C7B"/>
          <w:sz w:val="22"/>
          <w:szCs w:val="22"/>
        </w:rPr>
        <w:t xml:space="preserve">Working capital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1400"/>
        <w:gridCol w:w="1400"/>
        <w:gridCol w:w="1400"/>
        <w:gridCol w:w="1426"/>
      </w:tblGrid>
      <w:tr>
        <w:trPr>
          <w:tblHeader/>
        </w:trPr>
        <w:tc>
          <w:tcPr>
            <w:tcW w:type="dxa" w:w="3400"/>
            <w:shd w:fill="1F3A5F" w:color="auto" w:val="clear"/>
            <w:tcMar>
              <w:top w:type="dxa" w:w="60"/>
              <w:left w:type="dxa" w:w="100"/>
              <w:bottom w:type="dxa" w:w="60"/>
              <w:right w:type="dxa" w:w="100"/>
            </w:tcMar>
          </w:tcPr>
          <w:p>
            <w:pPr>
              <w:spacing w:after="0" w:line="260"/>
            </w:pPr>
            <w:r>
              <w:rPr>
                <w:rFonts w:ascii="Arial" w:cs="Arial" w:eastAsia="Arial" w:hAnsi="Arial"/>
                <w:b/>
                <w:bCs/>
                <w:color w:val="FFFFFF"/>
                <w:sz w:val="18"/>
                <w:szCs w:val="18"/>
              </w:rPr>
              <w:t xml:space="preserve">Metric</w:t>
            </w:r>
          </w:p>
        </w:tc>
        <w:tc>
          <w:tcPr>
            <w:tcW w:type="dxa" w:w="14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This month</w:t>
            </w:r>
          </w:p>
        </w:tc>
        <w:tc>
          <w:tcPr>
            <w:tcW w:type="dxa" w:w="14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Last month</w:t>
            </w:r>
          </w:p>
        </w:tc>
        <w:tc>
          <w:tcPr>
            <w:tcW w:type="dxa" w:w="14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Target</w:t>
            </w:r>
          </w:p>
        </w:tc>
        <w:tc>
          <w:tcPr>
            <w:tcW w:type="dxa" w:w="1426"/>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Trend</w:t>
            </w:r>
          </w:p>
        </w:tc>
      </w:tr>
      <w:tr>
        <w:tc>
          <w:tcPr>
            <w:tcW w:type="dxa" w:w="3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Debtor days (DSO)</w:t>
            </w:r>
          </w:p>
        </w:tc>
        <w:tc>
          <w:tcPr>
            <w:tcW w:type="dxa" w:w="14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4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4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4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34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Creditor days (DPO)</w:t>
            </w:r>
          </w:p>
        </w:tc>
        <w:tc>
          <w:tcPr>
            <w:tcW w:type="dxa" w:w="14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4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4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4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3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Inventory days (DIO)</w:t>
            </w:r>
          </w:p>
        </w:tc>
        <w:tc>
          <w:tcPr>
            <w:tcW w:type="dxa" w:w="14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4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4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4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34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Cash conversion cycle</w:t>
            </w:r>
          </w:p>
        </w:tc>
        <w:tc>
          <w:tcPr>
            <w:tcW w:type="dxa" w:w="14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4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4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4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3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Receivables over 90 days</w:t>
            </w:r>
          </w:p>
        </w:tc>
        <w:tc>
          <w:tcPr>
            <w:tcW w:type="dxa" w:w="14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4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4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4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bl>
    <w:p>
      <w:pPr>
        <w:pStyle w:val="Heading2"/>
        <w:spacing w:after="120" w:before="240"/>
      </w:pPr>
      <w:r>
        <w:rPr>
          <w:rFonts w:ascii="Arial" w:cs="Arial" w:eastAsia="Arial" w:hAnsi="Arial"/>
          <w:b/>
          <w:bCs/>
          <w:color w:val="0E7C7B"/>
          <w:sz w:val="22"/>
          <w:szCs w:val="22"/>
        </w:rPr>
        <w:t xml:space="preserve">Debt and covenants</w:t>
      </w:r>
    </w:p>
    <w:p>
      <w:pPr>
        <w:pBdr>
          <w:left w:val="single" w:color="0E7C7B" w:sz="12" w:space="8"/>
        </w:pBdr>
        <w:spacing w:after="160" w:line="276"/>
        <w:ind w:left="180"/>
      </w:pPr>
      <w:r>
        <w:rPr>
          <w:rFonts w:ascii="Arial" w:cs="Arial" w:eastAsia="Arial" w:hAnsi="Arial"/>
          <w:i/>
          <w:iCs/>
          <w:color w:val="0E7C7B"/>
          <w:sz w:val="18"/>
          <w:szCs w:val="18"/>
        </w:rPr>
        <w:t xml:space="preserve">If you have facilities with covenants, show each covenant, the required level, the actual level and the headroom. A covenant heading towards breach must be flagged the month you can see it coming, not the month it happens.</w:t>
      </w:r>
    </w:p>
    <w:p>
      <w:pPr>
        <w:spacing w:after="120" w:line="276"/>
      </w:pPr>
      <w:r>
        <w:rPr>
          <w:rFonts w:ascii="Arial" w:cs="Arial" w:eastAsia="Arial" w:hAnsi="Arial"/>
          <w:color w:val="000000"/>
          <w:sz w:val="20"/>
          <w:szCs w:val="20"/>
        </w:rPr>
        <w:t xml:space="preserve">[Debt and covenant commentary]</w:t>
      </w:r>
    </w:p>
    <w:p>
      <w:r>
        <w:br w:type="page"/>
      </w:r>
    </w:p>
    <w:p>
      <w:pPr>
        <w:pStyle w:val="Heading1"/>
        <w:pBdr>
          <w:bottom w:val="single" w:color="C9A227" w:sz="12" w:space="6"/>
        </w:pBdr>
        <w:spacing w:after="160" w:before="320"/>
      </w:pPr>
      <w:r>
        <w:rPr>
          <w:rFonts w:ascii="Arial" w:cs="Arial" w:eastAsia="Arial" w:hAnsi="Arial"/>
          <w:b/>
          <w:bCs/>
          <w:color w:val="1F3A5F"/>
          <w:sz w:val="28"/>
          <w:szCs w:val="28"/>
        </w:rPr>
        <w:t xml:space="preserve">4. Operating KPIs</w:t>
      </w:r>
    </w:p>
    <w:p>
      <w:pPr>
        <w:pBdr>
          <w:left w:val="single" w:color="0E7C7B" w:sz="12" w:space="8"/>
        </w:pBdr>
        <w:spacing w:after="160" w:line="276"/>
        <w:ind w:left="180"/>
      </w:pPr>
      <w:r>
        <w:rPr>
          <w:rFonts w:ascii="Arial" w:cs="Arial" w:eastAsia="Arial" w:hAnsi="Arial"/>
          <w:i/>
          <w:iCs/>
          <w:color w:val="0E7C7B"/>
          <w:sz w:val="18"/>
          <w:szCs w:val="18"/>
        </w:rPr>
        <w:t xml:space="preserve">Choose six to ten metrics and keep them stable month to month. Changing the KPI set every period is how boards lose the ability to see a trend. Replace the examples below with your own.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1300"/>
        <w:gridCol w:w="1300"/>
        <w:gridCol w:w="1300"/>
        <w:gridCol w:w="2326"/>
      </w:tblGrid>
      <w:tr>
        <w:trPr>
          <w:tblHeader/>
        </w:trPr>
        <w:tc>
          <w:tcPr>
            <w:tcW w:type="dxa" w:w="2800"/>
            <w:shd w:fill="1F3A5F" w:color="auto" w:val="clear"/>
            <w:tcMar>
              <w:top w:type="dxa" w:w="60"/>
              <w:left w:type="dxa" w:w="100"/>
              <w:bottom w:type="dxa" w:w="60"/>
              <w:right w:type="dxa" w:w="100"/>
            </w:tcMar>
          </w:tcPr>
          <w:p>
            <w:pPr>
              <w:spacing w:after="0" w:line="260"/>
            </w:pPr>
            <w:r>
              <w:rPr>
                <w:rFonts w:ascii="Arial" w:cs="Arial" w:eastAsia="Arial" w:hAnsi="Arial"/>
                <w:b/>
                <w:bCs/>
                <w:color w:val="FFFFFF"/>
                <w:sz w:val="18"/>
                <w:szCs w:val="18"/>
              </w:rPr>
              <w:t xml:space="preserve">KPI</w:t>
            </w:r>
          </w:p>
        </w:tc>
        <w:tc>
          <w:tcPr>
            <w:tcW w:type="dxa" w:w="13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This month</w:t>
            </w:r>
          </w:p>
        </w:tc>
        <w:tc>
          <w:tcPr>
            <w:tcW w:type="dxa" w:w="13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Last month</w:t>
            </w:r>
          </w:p>
        </w:tc>
        <w:tc>
          <w:tcPr>
            <w:tcW w:type="dxa" w:w="13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Target</w:t>
            </w:r>
          </w:p>
        </w:tc>
        <w:tc>
          <w:tcPr>
            <w:tcW w:type="dxa" w:w="2326"/>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Commentary</w:t>
            </w:r>
          </w:p>
        </w:tc>
      </w:tr>
      <w:tr>
        <w:tc>
          <w:tcPr>
            <w:tcW w:type="dxa" w:w="28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New customers won</w:t>
            </w:r>
          </w:p>
        </w:tc>
        <w:tc>
          <w:tcPr>
            <w:tcW w:type="dxa" w:w="13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3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3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3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8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Customer churn %</w:t>
            </w:r>
          </w:p>
        </w:tc>
        <w:tc>
          <w:tcPr>
            <w:tcW w:type="dxa" w:w="13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3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3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3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8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Revenue per employee</w:t>
            </w:r>
          </w:p>
        </w:tc>
        <w:tc>
          <w:tcPr>
            <w:tcW w:type="dxa" w:w="13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3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3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3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8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Pipeline value</w:t>
            </w:r>
          </w:p>
        </w:tc>
        <w:tc>
          <w:tcPr>
            <w:tcW w:type="dxa" w:w="13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3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3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3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8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Order book / contracted revenue</w:t>
            </w:r>
          </w:p>
        </w:tc>
        <w:tc>
          <w:tcPr>
            <w:tcW w:type="dxa" w:w="13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3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3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3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8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Headcount</w:t>
            </w:r>
          </w:p>
        </w:tc>
        <w:tc>
          <w:tcPr>
            <w:tcW w:type="dxa" w:w="13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3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3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3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8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Staff turnover %</w:t>
            </w:r>
          </w:p>
        </w:tc>
        <w:tc>
          <w:tcPr>
            <w:tcW w:type="dxa" w:w="13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3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3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3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800"/>
            <w:shd w:fill="EEF3F7" w:color="auto" w:val="clear"/>
            <w:tcMar>
              <w:top w:type="dxa" w:w="60"/>
              <w:left w:type="dxa" w:w="100"/>
              <w:bottom w:type="dxa" w:w="60"/>
              <w:right w:type="dxa" w:w="100"/>
            </w:tcMar>
          </w:tcPr>
          <w:p>
            <w:pPr>
              <w:spacing w:after="0" w:line="260"/>
            </w:pPr>
            <w:r>
              <w:rPr>
                <w:rFonts w:ascii="Arial" w:cs="Arial" w:eastAsia="Arial" w:hAnsi="Arial"/>
                <w:i/>
                <w:iCs/>
                <w:color w:val="595959"/>
                <w:sz w:val="18"/>
                <w:szCs w:val="18"/>
              </w:rPr>
              <w:t xml:space="preserve">[Your operational metric]</w:t>
            </w:r>
          </w:p>
        </w:tc>
        <w:tc>
          <w:tcPr>
            <w:tcW w:type="dxa" w:w="13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3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3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3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bl>
    <w:p>
      <w:pPr>
        <w:pStyle w:val="Heading2"/>
        <w:spacing w:after="120" w:before="240"/>
      </w:pPr>
      <w:r>
        <w:rPr>
          <w:rFonts w:ascii="Arial" w:cs="Arial" w:eastAsia="Arial" w:hAnsi="Arial"/>
          <w:b/>
          <w:bCs/>
          <w:color w:val="0E7C7B"/>
          <w:sz w:val="22"/>
          <w:szCs w:val="22"/>
        </w:rPr>
        <w:t xml:space="preserve">KPI commentary</w:t>
      </w:r>
    </w:p>
    <w:p>
      <w:pPr>
        <w:spacing w:after="120" w:line="276"/>
      </w:pPr>
      <w:r>
        <w:rPr>
          <w:rFonts w:ascii="Arial" w:cs="Arial" w:eastAsia="Arial" w:hAnsi="Arial"/>
          <w:color w:val="000000"/>
          <w:sz w:val="20"/>
          <w:szCs w:val="20"/>
        </w:rPr>
        <w:t xml:space="preserve">[Explain any KPI that moved materially, and say what you are doing about it.]</w:t>
      </w:r>
    </w:p>
    <w:p>
      <w:r>
        <w:br w:type="page"/>
      </w:r>
    </w:p>
    <w:p>
      <w:pPr>
        <w:pStyle w:val="Heading1"/>
        <w:pBdr>
          <w:bottom w:val="single" w:color="C9A227" w:sz="12" w:space="6"/>
        </w:pBdr>
        <w:spacing w:after="160" w:before="320"/>
      </w:pPr>
      <w:r>
        <w:rPr>
          <w:rFonts w:ascii="Arial" w:cs="Arial" w:eastAsia="Arial" w:hAnsi="Arial"/>
          <w:b/>
          <w:bCs/>
          <w:color w:val="1F3A5F"/>
          <w:sz w:val="28"/>
          <w:szCs w:val="28"/>
        </w:rPr>
        <w:t xml:space="preserve">5. Risks and mitigations</w:t>
      </w:r>
    </w:p>
    <w:p>
      <w:pPr>
        <w:pBdr>
          <w:left w:val="single" w:color="0E7C7B" w:sz="12" w:space="8"/>
        </w:pBdr>
        <w:spacing w:after="160" w:line="276"/>
        <w:ind w:left="180"/>
      </w:pPr>
      <w:r>
        <w:rPr>
          <w:rFonts w:ascii="Arial" w:cs="Arial" w:eastAsia="Arial" w:hAnsi="Arial"/>
          <w:i/>
          <w:iCs/>
          <w:color w:val="0E7C7B"/>
          <w:sz w:val="18"/>
          <w:szCs w:val="18"/>
        </w:rPr>
        <w:t xml:space="preserve">Score likelihood and impact as High, Medium or Low. Show movement since last month with an arrow or the words Increasing, Stable, Decreasing. A risk register that never changes is a register nobody is maintaining.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1100"/>
        <w:gridCol w:w="1100"/>
        <w:gridCol w:w="1200"/>
        <w:gridCol w:w="3026"/>
      </w:tblGrid>
      <w:tr>
        <w:trPr>
          <w:tblHeader/>
        </w:trPr>
        <w:tc>
          <w:tcPr>
            <w:tcW w:type="dxa" w:w="2600"/>
            <w:shd w:fill="1F3A5F" w:color="auto" w:val="clear"/>
            <w:tcMar>
              <w:top w:type="dxa" w:w="60"/>
              <w:left w:type="dxa" w:w="100"/>
              <w:bottom w:type="dxa" w:w="60"/>
              <w:right w:type="dxa" w:w="100"/>
            </w:tcMar>
          </w:tcPr>
          <w:p>
            <w:pPr>
              <w:spacing w:after="0" w:line="260"/>
            </w:pPr>
            <w:r>
              <w:rPr>
                <w:rFonts w:ascii="Arial" w:cs="Arial" w:eastAsia="Arial" w:hAnsi="Arial"/>
                <w:b/>
                <w:bCs/>
                <w:color w:val="FFFFFF"/>
                <w:sz w:val="18"/>
                <w:szCs w:val="18"/>
              </w:rPr>
              <w:t xml:space="preserve">Risk</w:t>
            </w:r>
          </w:p>
        </w:tc>
        <w:tc>
          <w:tcPr>
            <w:tcW w:type="dxa" w:w="11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Likelihood</w:t>
            </w:r>
          </w:p>
        </w:tc>
        <w:tc>
          <w:tcPr>
            <w:tcW w:type="dxa" w:w="11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Impact</w:t>
            </w:r>
          </w:p>
        </w:tc>
        <w:tc>
          <w:tcPr>
            <w:tcW w:type="dxa" w:w="12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Movement</w:t>
            </w:r>
          </w:p>
        </w:tc>
        <w:tc>
          <w:tcPr>
            <w:tcW w:type="dxa" w:w="3026"/>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Mitigation and owner</w:t>
            </w:r>
          </w:p>
        </w:tc>
      </w:tr>
      <w:tr>
        <w:tc>
          <w:tcPr>
            <w:tcW w:type="dxa" w:w="26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Customer concentration</w:t>
            </w:r>
          </w:p>
        </w:tc>
        <w:tc>
          <w:tcPr>
            <w:tcW w:type="dxa" w:w="11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1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2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30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6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Cash flow / working capital</w:t>
            </w:r>
          </w:p>
        </w:tc>
        <w:tc>
          <w:tcPr>
            <w:tcW w:type="dxa" w:w="11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1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2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30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6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Tax and regulatory compliance</w:t>
            </w:r>
          </w:p>
        </w:tc>
        <w:tc>
          <w:tcPr>
            <w:tcW w:type="dxa" w:w="11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1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2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30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6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Key person dependency</w:t>
            </w:r>
          </w:p>
        </w:tc>
        <w:tc>
          <w:tcPr>
            <w:tcW w:type="dxa" w:w="11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1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2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30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6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Supplier or supply chain</w:t>
            </w:r>
          </w:p>
        </w:tc>
        <w:tc>
          <w:tcPr>
            <w:tcW w:type="dxa" w:w="11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1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2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30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6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Foreign exchange exposure</w:t>
            </w:r>
          </w:p>
        </w:tc>
        <w:tc>
          <w:tcPr>
            <w:tcW w:type="dxa" w:w="11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1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2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30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6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Systems, data and cyber</w:t>
            </w:r>
          </w:p>
        </w:tc>
        <w:tc>
          <w:tcPr>
            <w:tcW w:type="dxa" w:w="11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1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2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30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600"/>
            <w:shd w:fill="EEF3F7" w:color="auto" w:val="clear"/>
            <w:tcMar>
              <w:top w:type="dxa" w:w="60"/>
              <w:left w:type="dxa" w:w="100"/>
              <w:bottom w:type="dxa" w:w="60"/>
              <w:right w:type="dxa" w:w="100"/>
            </w:tcMar>
          </w:tcPr>
          <w:p>
            <w:pPr>
              <w:spacing w:after="0" w:line="260"/>
            </w:pPr>
            <w:r>
              <w:rPr>
                <w:rFonts w:ascii="Arial" w:cs="Arial" w:eastAsia="Arial" w:hAnsi="Arial"/>
                <w:i/>
                <w:iCs/>
                <w:color w:val="595959"/>
                <w:sz w:val="18"/>
                <w:szCs w:val="18"/>
              </w:rPr>
              <w:t xml:space="preserve">[Add your own]</w:t>
            </w:r>
          </w:p>
        </w:tc>
        <w:tc>
          <w:tcPr>
            <w:tcW w:type="dxa" w:w="11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1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2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30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bl>
    <w:p>
      <w:pPr>
        <w:pStyle w:val="Heading2"/>
        <w:spacing w:after="120" w:before="240"/>
      </w:pPr>
      <w:r>
        <w:rPr>
          <w:rFonts w:ascii="Arial" w:cs="Arial" w:eastAsia="Arial" w:hAnsi="Arial"/>
          <w:b/>
          <w:bCs/>
          <w:color w:val="0E7C7B"/>
          <w:sz w:val="22"/>
          <w:szCs w:val="22"/>
        </w:rPr>
        <w:t xml:space="preserve">New or escalating risks this month</w:t>
      </w:r>
    </w:p>
    <w:p>
      <w:pPr>
        <w:spacing w:after="120" w:line="276"/>
      </w:pPr>
      <w:r>
        <w:rPr>
          <w:rFonts w:ascii="Arial" w:cs="Arial" w:eastAsia="Arial" w:hAnsi="Arial"/>
          <w:color w:val="000000"/>
          <w:sz w:val="20"/>
          <w:szCs w:val="20"/>
        </w:rPr>
        <w:t xml:space="preserve">[Describe anything that has appeared or worsened since the last pack.]</w:t>
      </w:r>
    </w:p>
    <w:p>
      <w:r>
        <w:br w:type="page"/>
      </w:r>
    </w:p>
    <w:p>
      <w:pPr>
        <w:pStyle w:val="Heading1"/>
        <w:pBdr>
          <w:bottom w:val="single" w:color="C9A227" w:sz="12" w:space="6"/>
        </w:pBdr>
        <w:spacing w:after="160" w:before="320"/>
      </w:pPr>
      <w:r>
        <w:rPr>
          <w:rFonts w:ascii="Arial" w:cs="Arial" w:eastAsia="Arial" w:hAnsi="Arial"/>
          <w:b/>
          <w:bCs/>
          <w:color w:val="1F3A5F"/>
          <w:sz w:val="28"/>
          <w:szCs w:val="28"/>
        </w:rPr>
        <w:t xml:space="preserve">6. Decisions required from the board</w:t>
      </w:r>
    </w:p>
    <w:p>
      <w:pPr>
        <w:pBdr>
          <w:left w:val="single" w:color="0E7C7B" w:sz="12" w:space="8"/>
        </w:pBdr>
        <w:spacing w:after="160" w:line="276"/>
        <w:ind w:left="180"/>
      </w:pPr>
      <w:r>
        <w:rPr>
          <w:rFonts w:ascii="Arial" w:cs="Arial" w:eastAsia="Arial" w:hAnsi="Arial"/>
          <w:i/>
          <w:iCs/>
          <w:color w:val="0E7C7B"/>
          <w:sz w:val="18"/>
          <w:szCs w:val="18"/>
        </w:rPr>
        <w:t xml:space="preserve">This is the most valuable page in the pack and the one most often left out. Each item states what is being asked, the recommendation, and what happens if the decision is deferred. Never bring a decision without a recommendation — that is what the board pays management for.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1900"/>
        <w:gridCol w:w="1926"/>
      </w:tblGrid>
      <w:tr>
        <w:trPr>
          <w:tblHeader/>
        </w:trPr>
        <w:tc>
          <w:tcPr>
            <w:tcW w:type="dxa" w:w="2600"/>
            <w:shd w:fill="1F3A5F" w:color="auto" w:val="clear"/>
            <w:tcMar>
              <w:top w:type="dxa" w:w="60"/>
              <w:left w:type="dxa" w:w="100"/>
              <w:bottom w:type="dxa" w:w="60"/>
              <w:right w:type="dxa" w:w="100"/>
            </w:tcMar>
          </w:tcPr>
          <w:p>
            <w:pPr>
              <w:spacing w:after="0" w:line="260"/>
            </w:pPr>
            <w:r>
              <w:rPr>
                <w:rFonts w:ascii="Arial" w:cs="Arial" w:eastAsia="Arial" w:hAnsi="Arial"/>
                <w:b/>
                <w:bCs/>
                <w:color w:val="FFFFFF"/>
                <w:sz w:val="18"/>
                <w:szCs w:val="18"/>
              </w:rPr>
              <w:t xml:space="preserve">Decision required</w:t>
            </w:r>
          </w:p>
        </w:tc>
        <w:tc>
          <w:tcPr>
            <w:tcW w:type="dxa" w:w="26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Management recommendation</w:t>
            </w:r>
          </w:p>
        </w:tc>
        <w:tc>
          <w:tcPr>
            <w:tcW w:type="dxa" w:w="19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Cost / impact</w:t>
            </w:r>
          </w:p>
        </w:tc>
        <w:tc>
          <w:tcPr>
            <w:tcW w:type="dxa" w:w="1926"/>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Consequence of deferral</w:t>
            </w:r>
          </w:p>
        </w:tc>
      </w:tr>
      <w:tr>
        <w:tc>
          <w:tcPr>
            <w:tcW w:type="dxa" w:w="2600"/>
            <w:tcMar>
              <w:top w:type="dxa" w:w="60"/>
              <w:left w:type="dxa" w:w="100"/>
              <w:bottom w:type="dxa" w:w="60"/>
              <w:right w:type="dxa" w:w="100"/>
            </w:tcMar>
          </w:tcPr>
          <w:p>
            <w:pPr>
              <w:spacing w:after="0" w:line="260"/>
            </w:pPr>
            <w:r>
              <w:rPr>
                <w:rFonts w:ascii="Arial" w:cs="Arial" w:eastAsia="Arial" w:hAnsi="Arial"/>
                <w:i/>
                <w:iCs/>
                <w:color w:val="595959"/>
                <w:sz w:val="18"/>
                <w:szCs w:val="18"/>
              </w:rPr>
              <w:t xml:space="preserve">[Decision one]</w:t>
            </w:r>
          </w:p>
        </w:tc>
        <w:tc>
          <w:tcPr>
            <w:tcW w:type="dxa" w:w="26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9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9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600"/>
            <w:shd w:fill="EEF3F7" w:color="auto" w:val="clear"/>
            <w:tcMar>
              <w:top w:type="dxa" w:w="60"/>
              <w:left w:type="dxa" w:w="100"/>
              <w:bottom w:type="dxa" w:w="60"/>
              <w:right w:type="dxa" w:w="100"/>
            </w:tcMar>
          </w:tcPr>
          <w:p>
            <w:pPr>
              <w:spacing w:after="0" w:line="260"/>
            </w:pPr>
            <w:r>
              <w:rPr>
                <w:rFonts w:ascii="Arial" w:cs="Arial" w:eastAsia="Arial" w:hAnsi="Arial"/>
                <w:i/>
                <w:iCs/>
                <w:color w:val="595959"/>
                <w:sz w:val="18"/>
                <w:szCs w:val="18"/>
              </w:rPr>
              <w:t xml:space="preserve">[Decision two]</w:t>
            </w:r>
          </w:p>
        </w:tc>
        <w:tc>
          <w:tcPr>
            <w:tcW w:type="dxa" w:w="26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9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9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600"/>
            <w:tcMar>
              <w:top w:type="dxa" w:w="60"/>
              <w:left w:type="dxa" w:w="100"/>
              <w:bottom w:type="dxa" w:w="60"/>
              <w:right w:type="dxa" w:w="100"/>
            </w:tcMar>
          </w:tcPr>
          <w:p>
            <w:pPr>
              <w:spacing w:after="0" w:line="260"/>
            </w:pPr>
            <w:r>
              <w:rPr>
                <w:rFonts w:ascii="Arial" w:cs="Arial" w:eastAsia="Arial" w:hAnsi="Arial"/>
                <w:i/>
                <w:iCs/>
                <w:color w:val="595959"/>
                <w:sz w:val="18"/>
                <w:szCs w:val="18"/>
              </w:rPr>
              <w:t xml:space="preserve">[Decision three]</w:t>
            </w:r>
          </w:p>
        </w:tc>
        <w:tc>
          <w:tcPr>
            <w:tcW w:type="dxa" w:w="26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9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9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bl>
    <w:p>
      <w:pPr>
        <w:pStyle w:val="Heading2"/>
        <w:spacing w:after="120" w:before="240"/>
      </w:pPr>
      <w:r>
        <w:rPr>
          <w:rFonts w:ascii="Arial" w:cs="Arial" w:eastAsia="Arial" w:hAnsi="Arial"/>
          <w:b/>
          <w:bCs/>
          <w:color w:val="0E7C7B"/>
          <w:sz w:val="22"/>
          <w:szCs w:val="22"/>
        </w:rPr>
        <w:t xml:space="preserve">Matters noted for information only</w:t>
      </w:r>
    </w:p>
    <w:p>
      <w:pPr>
        <w:pStyle w:val="ListParagraph"/>
        <w:numPr>
          <w:ilvl w:val="0"/>
          <w:numId w:val="2"/>
        </w:numPr>
        <w:spacing w:after="80" w:line="276"/>
      </w:pPr>
      <w:r>
        <w:rPr>
          <w:rFonts w:ascii="Arial" w:cs="Arial" w:eastAsia="Arial" w:hAnsi="Arial"/>
          <w:sz w:val="20"/>
          <w:szCs w:val="20"/>
        </w:rPr>
        <w:t xml:space="preserve">[Item one]</w:t>
      </w:r>
    </w:p>
    <w:p>
      <w:pPr>
        <w:pStyle w:val="ListParagraph"/>
        <w:numPr>
          <w:ilvl w:val="0"/>
          <w:numId w:val="2"/>
        </w:numPr>
        <w:spacing w:after="80" w:line="276"/>
      </w:pPr>
      <w:r>
        <w:rPr>
          <w:rFonts w:ascii="Arial" w:cs="Arial" w:eastAsia="Arial" w:hAnsi="Arial"/>
          <w:sz w:val="20"/>
          <w:szCs w:val="20"/>
        </w:rPr>
        <w:t xml:space="preserve">[Item two]</w:t>
      </w:r>
    </w:p>
    <w:p>
      <w:pPr>
        <w:pStyle w:val="Heading2"/>
        <w:spacing w:after="120" w:before="240"/>
      </w:pPr>
      <w:r>
        <w:rPr>
          <w:rFonts w:ascii="Arial" w:cs="Arial" w:eastAsia="Arial" w:hAnsi="Arial"/>
          <w:b/>
          <w:bCs/>
          <w:color w:val="0E7C7B"/>
          <w:sz w:val="22"/>
          <w:szCs w:val="22"/>
        </w:rPr>
        <w:t xml:space="preserve">Actions outstanding from the last meeting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1900"/>
        <w:gridCol w:w="1900"/>
        <w:gridCol w:w="1826"/>
      </w:tblGrid>
      <w:tr>
        <w:trPr>
          <w:tblHeader/>
        </w:trPr>
        <w:tc>
          <w:tcPr>
            <w:tcW w:type="dxa" w:w="3400"/>
            <w:shd w:fill="1F3A5F" w:color="auto" w:val="clear"/>
            <w:tcMar>
              <w:top w:type="dxa" w:w="60"/>
              <w:left w:type="dxa" w:w="100"/>
              <w:bottom w:type="dxa" w:w="60"/>
              <w:right w:type="dxa" w:w="100"/>
            </w:tcMar>
          </w:tcPr>
          <w:p>
            <w:pPr>
              <w:spacing w:after="0" w:line="260"/>
            </w:pPr>
            <w:r>
              <w:rPr>
                <w:rFonts w:ascii="Arial" w:cs="Arial" w:eastAsia="Arial" w:hAnsi="Arial"/>
                <w:b/>
                <w:bCs/>
                <w:color w:val="FFFFFF"/>
                <w:sz w:val="18"/>
                <w:szCs w:val="18"/>
              </w:rPr>
              <w:t xml:space="preserve">Action</w:t>
            </w:r>
          </w:p>
        </w:tc>
        <w:tc>
          <w:tcPr>
            <w:tcW w:type="dxa" w:w="19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Owner</w:t>
            </w:r>
          </w:p>
        </w:tc>
        <w:tc>
          <w:tcPr>
            <w:tcW w:type="dxa" w:w="19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Due</w:t>
            </w:r>
          </w:p>
        </w:tc>
        <w:tc>
          <w:tcPr>
            <w:tcW w:type="dxa" w:w="1826"/>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Status</w:t>
            </w:r>
          </w:p>
        </w:tc>
      </w:tr>
      <w:tr>
        <w:tc>
          <w:tcPr>
            <w:tcW w:type="dxa" w:w="3400"/>
            <w:tcMar>
              <w:top w:type="dxa" w:w="60"/>
              <w:left w:type="dxa" w:w="100"/>
              <w:bottom w:type="dxa" w:w="60"/>
              <w:right w:type="dxa" w:w="100"/>
            </w:tcMar>
          </w:tcPr>
          <w:p>
            <w:pPr>
              <w:spacing w:after="0" w:line="260"/>
            </w:pPr>
            <w:r>
              <w:rPr>
                <w:rFonts w:ascii="Arial" w:cs="Arial" w:eastAsia="Arial" w:hAnsi="Arial"/>
                <w:i/>
                <w:iCs/>
                <w:color w:val="595959"/>
                <w:sz w:val="18"/>
                <w:szCs w:val="18"/>
              </w:rPr>
              <w:t xml:space="preserve">[Action one]</w:t>
            </w:r>
          </w:p>
        </w:tc>
        <w:tc>
          <w:tcPr>
            <w:tcW w:type="dxa" w:w="19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9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8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3400"/>
            <w:shd w:fill="EEF3F7" w:color="auto" w:val="clear"/>
            <w:tcMar>
              <w:top w:type="dxa" w:w="60"/>
              <w:left w:type="dxa" w:w="100"/>
              <w:bottom w:type="dxa" w:w="60"/>
              <w:right w:type="dxa" w:w="100"/>
            </w:tcMar>
          </w:tcPr>
          <w:p>
            <w:pPr>
              <w:spacing w:after="0" w:line="260"/>
            </w:pPr>
            <w:r>
              <w:rPr>
                <w:rFonts w:ascii="Arial" w:cs="Arial" w:eastAsia="Arial" w:hAnsi="Arial"/>
                <w:i/>
                <w:iCs/>
                <w:color w:val="595959"/>
                <w:sz w:val="18"/>
                <w:szCs w:val="18"/>
              </w:rPr>
              <w:t xml:space="preserve">[Action two]</w:t>
            </w:r>
          </w:p>
        </w:tc>
        <w:tc>
          <w:tcPr>
            <w:tcW w:type="dxa" w:w="19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9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8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3400"/>
            <w:tcMar>
              <w:top w:type="dxa" w:w="60"/>
              <w:left w:type="dxa" w:w="100"/>
              <w:bottom w:type="dxa" w:w="60"/>
              <w:right w:type="dxa" w:w="100"/>
            </w:tcMar>
          </w:tcPr>
          <w:p>
            <w:pPr>
              <w:spacing w:after="0" w:line="260"/>
            </w:pPr>
            <w:r>
              <w:rPr>
                <w:rFonts w:ascii="Arial" w:cs="Arial" w:eastAsia="Arial" w:hAnsi="Arial"/>
                <w:i/>
                <w:iCs/>
                <w:color w:val="595959"/>
                <w:sz w:val="18"/>
                <w:szCs w:val="18"/>
              </w:rPr>
              <w:t xml:space="preserve">[Action three]</w:t>
            </w:r>
          </w:p>
        </w:tc>
        <w:tc>
          <w:tcPr>
            <w:tcW w:type="dxa" w:w="19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9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8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bl>
    <w:p>
      <w:r>
        <w:br w:type="page"/>
      </w:r>
    </w:p>
    <w:p>
      <w:pPr>
        <w:pStyle w:val="Heading1"/>
        <w:pBdr>
          <w:bottom w:val="single" w:color="C9A227" w:sz="12" w:space="6"/>
        </w:pBdr>
        <w:spacing w:after="160" w:before="320"/>
      </w:pPr>
      <w:r>
        <w:rPr>
          <w:rFonts w:ascii="Arial" w:cs="Arial" w:eastAsia="Arial" w:hAnsi="Arial"/>
          <w:b/>
          <w:bCs/>
          <w:color w:val="1F3A5F"/>
          <w:sz w:val="28"/>
          <w:szCs w:val="28"/>
        </w:rPr>
        <w:t xml:space="preserve">Appendix A: Statutory compliance status</w:t>
      </w:r>
    </w:p>
    <w:p>
      <w:pPr>
        <w:pBdr>
          <w:left w:val="single" w:color="0E7C7B" w:sz="12" w:space="8"/>
        </w:pBdr>
        <w:spacing w:after="160" w:line="276"/>
        <w:ind w:left="180"/>
      </w:pPr>
      <w:r>
        <w:rPr>
          <w:rFonts w:ascii="Arial" w:cs="Arial" w:eastAsia="Arial" w:hAnsi="Arial"/>
          <w:i/>
          <w:iCs/>
          <w:color w:val="0E7C7B"/>
          <w:sz w:val="18"/>
          <w:szCs w:val="18"/>
        </w:rPr>
        <w:t xml:space="preserve">Directors carry personal exposure for statutory non-compliance. A single standing table showing filing and payment status each month is one of the cheapest pieces of governance assurance you can give them. Confirm current deadlines against prevailing law — they change with each Finance Act.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1500"/>
        <w:gridCol w:w="1500"/>
        <w:gridCol w:w="2026"/>
      </w:tblGrid>
      <w:tr>
        <w:trPr>
          <w:tblHeader/>
        </w:trPr>
        <w:tc>
          <w:tcPr>
            <w:tcW w:type="dxa" w:w="2400"/>
            <w:shd w:fill="1F3A5F" w:color="auto" w:val="clear"/>
            <w:tcMar>
              <w:top w:type="dxa" w:w="60"/>
              <w:left w:type="dxa" w:w="100"/>
              <w:bottom w:type="dxa" w:w="60"/>
              <w:right w:type="dxa" w:w="100"/>
            </w:tcMar>
          </w:tcPr>
          <w:p>
            <w:pPr>
              <w:spacing w:after="0" w:line="260"/>
            </w:pPr>
            <w:r>
              <w:rPr>
                <w:rFonts w:ascii="Arial" w:cs="Arial" w:eastAsia="Arial" w:hAnsi="Arial"/>
                <w:b/>
                <w:bCs/>
                <w:color w:val="FFFFFF"/>
                <w:sz w:val="18"/>
                <w:szCs w:val="18"/>
              </w:rPr>
              <w:t xml:space="preserve">Obligation</w:t>
            </w:r>
          </w:p>
        </w:tc>
        <w:tc>
          <w:tcPr>
            <w:tcW w:type="dxa" w:w="16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Period</w:t>
            </w:r>
          </w:p>
        </w:tc>
        <w:tc>
          <w:tcPr>
            <w:tcW w:type="dxa" w:w="15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Due date</w:t>
            </w:r>
          </w:p>
        </w:tc>
        <w:tc>
          <w:tcPr>
            <w:tcW w:type="dxa" w:w="1500"/>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Filed</w:t>
            </w:r>
          </w:p>
        </w:tc>
        <w:tc>
          <w:tcPr>
            <w:tcW w:type="dxa" w:w="2026"/>
            <w:shd w:fill="1F3A5F" w:color="auto" w:val="clear"/>
            <w:tcMar>
              <w:top w:type="dxa" w:w="60"/>
              <w:left w:type="dxa" w:w="100"/>
              <w:bottom w:type="dxa" w:w="60"/>
              <w:right w:type="dxa" w:w="100"/>
            </w:tcMar>
          </w:tcPr>
          <w:p>
            <w:pPr>
              <w:spacing w:after="0" w:line="260"/>
              <w:jc w:val="center"/>
            </w:pPr>
            <w:r>
              <w:rPr>
                <w:rFonts w:ascii="Arial" w:cs="Arial" w:eastAsia="Arial" w:hAnsi="Arial"/>
                <w:b/>
                <w:bCs/>
                <w:color w:val="FFFFFF"/>
                <w:sz w:val="18"/>
                <w:szCs w:val="18"/>
              </w:rPr>
              <w:t xml:space="preserve">Paid / reference</w:t>
            </w:r>
          </w:p>
        </w:tc>
      </w:tr>
      <w:tr>
        <w:tc>
          <w:tcPr>
            <w:tcW w:type="dxa" w:w="2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PAYE</w:t>
            </w:r>
          </w:p>
        </w:tc>
        <w:tc>
          <w:tcPr>
            <w:tcW w:type="dxa" w:w="16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0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NSSF</w:t>
            </w:r>
          </w:p>
        </w:tc>
        <w:tc>
          <w:tcPr>
            <w:tcW w:type="dxa" w:w="16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0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SHIF</w:t>
            </w:r>
          </w:p>
        </w:tc>
        <w:tc>
          <w:tcPr>
            <w:tcW w:type="dxa" w:w="16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0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Affordable Housing Levy</w:t>
            </w:r>
          </w:p>
        </w:tc>
        <w:tc>
          <w:tcPr>
            <w:tcW w:type="dxa" w:w="16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0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VAT</w:t>
            </w:r>
          </w:p>
        </w:tc>
        <w:tc>
          <w:tcPr>
            <w:tcW w:type="dxa" w:w="16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0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Withholding tax</w:t>
            </w:r>
          </w:p>
        </w:tc>
        <w:tc>
          <w:tcPr>
            <w:tcW w:type="dxa" w:w="16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0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Instalment tax</w:t>
            </w:r>
          </w:p>
        </w:tc>
        <w:tc>
          <w:tcPr>
            <w:tcW w:type="dxa" w:w="16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0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shd w:fill="EEF3F7" w:color="auto" w:val="clear"/>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Annual returns / filings</w:t>
            </w:r>
          </w:p>
        </w:tc>
        <w:tc>
          <w:tcPr>
            <w:tcW w:type="dxa" w:w="16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026"/>
            <w:shd w:fill="EEF3F7" w:color="auto" w:val="clear"/>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r>
        <w:tc>
          <w:tcPr>
            <w:tcW w:type="dxa" w:w="2400"/>
            <w:tcMar>
              <w:top w:type="dxa" w:w="60"/>
              <w:left w:type="dxa" w:w="100"/>
              <w:bottom w:type="dxa" w:w="60"/>
              <w:right w:type="dxa" w:w="100"/>
            </w:tcMar>
          </w:tcPr>
          <w:p>
            <w:pPr>
              <w:spacing w:after="0" w:line="260"/>
            </w:pPr>
            <w:r>
              <w:rPr>
                <w:rFonts w:ascii="Arial" w:cs="Arial" w:eastAsia="Arial" w:hAnsi="Arial"/>
                <w:i w:val="false"/>
                <w:iCs w:val="false"/>
                <w:color w:val="000000"/>
                <w:sz w:val="18"/>
                <w:szCs w:val="18"/>
              </w:rPr>
              <w:t xml:space="preserve">Sector licences and permits</w:t>
            </w:r>
          </w:p>
        </w:tc>
        <w:tc>
          <w:tcPr>
            <w:tcW w:type="dxa" w:w="16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1500"/>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c>
          <w:tcPr>
            <w:tcW w:type="dxa" w:w="2026"/>
            <w:tcMar>
              <w:top w:type="dxa" w:w="60"/>
              <w:left w:type="dxa" w:w="100"/>
              <w:bottom w:type="dxa" w:w="60"/>
              <w:right w:type="dxa" w:w="100"/>
            </w:tcMar>
          </w:tcPr>
          <w:p>
            <w:pPr>
              <w:spacing w:after="0" w:line="260"/>
              <w:jc w:val="center"/>
            </w:pPr>
            <w:r>
              <w:rPr>
                <w:rFonts w:ascii="Arial" w:cs="Arial" w:eastAsia="Arial" w:hAnsi="Arial"/>
                <w:i/>
                <w:iCs/>
                <w:color w:val="595959"/>
                <w:sz w:val="18"/>
                <w:szCs w:val="18"/>
              </w:rPr>
              <w:t xml:space="preserve">[  ]</w:t>
            </w:r>
          </w:p>
        </w:tc>
      </w:tr>
    </w:tbl>
    <w:p>
      <w:pPr>
        <w:pStyle w:val="Heading2"/>
        <w:spacing w:after="120" w:before="240"/>
      </w:pPr>
      <w:r>
        <w:rPr>
          <w:rFonts w:ascii="Arial" w:cs="Arial" w:eastAsia="Arial" w:hAnsi="Arial"/>
          <w:b/>
          <w:bCs/>
          <w:color w:val="0E7C7B"/>
          <w:sz w:val="22"/>
          <w:szCs w:val="22"/>
        </w:rPr>
        <w:t xml:space="preserve">Compliance exceptions</w:t>
      </w:r>
    </w:p>
    <w:p>
      <w:pPr>
        <w:spacing w:after="120" w:line="276"/>
      </w:pPr>
      <w:r>
        <w:rPr>
          <w:rFonts w:ascii="Arial" w:cs="Arial" w:eastAsia="Arial" w:hAnsi="Arial"/>
          <w:color w:val="000000"/>
          <w:sz w:val="20"/>
          <w:szCs w:val="20"/>
        </w:rPr>
        <w:t xml:space="preserve">[List anything filed late, unpaid, or under query with a revenue or regulatory authority, with the remediation plan and date.]</w:t>
      </w:r>
    </w:p>
    <w:p>
      <w:pPr>
        <w:pStyle w:val="Heading2"/>
        <w:spacing w:after="120" w:before="240"/>
      </w:pPr>
      <w:r>
        <w:rPr>
          <w:rFonts w:ascii="Arial" w:cs="Arial" w:eastAsia="Arial" w:hAnsi="Arial"/>
          <w:b/>
          <w:bCs/>
          <w:color w:val="0E7C7B"/>
          <w:sz w:val="22"/>
          <w:szCs w:val="22"/>
        </w:rPr>
        <w:t xml:space="preserve">Basis of preparation and disclaimer</w:t>
      </w:r>
    </w:p>
    <w:p>
      <w:pPr>
        <w:spacing w:after="120" w:line="276"/>
      </w:pPr>
      <w:r>
        <w:rPr>
          <w:rFonts w:ascii="Arial" w:cs="Arial" w:eastAsia="Arial" w:hAnsi="Arial"/>
          <w:color w:val="595959"/>
          <w:sz w:val="16"/>
          <w:szCs w:val="16"/>
        </w:rPr>
        <w:t xml:space="preserve">These management accounts are unaudited and prepared for internal management and board purposes. They have been prepared on a basis consistent with the prior period except where noted. Estimates and judgements applied are set out where material.</w:t>
      </w:r>
    </w:p>
    <w:p>
      <w:pPr>
        <w:spacing w:after="120" w:line="276"/>
      </w:pPr>
      <w:r>
        <w:rPr>
          <w:rFonts w:ascii="Arial" w:cs="Arial" w:eastAsia="Arial" w:hAnsi="Arial"/>
          <w:i/>
          <w:iCs/>
          <w:color w:val="595959"/>
          <w:sz w:val="16"/>
          <w:szCs w:val="16"/>
        </w:rPr>
        <w:t xml:space="preserve">This template is a reporting aid and does not constitute accounting, tax, audit or legal advice. Adapt it to your own reporting framework and confirm all statutory deadlines against prevailing law.</w:t>
      </w:r>
    </w:p>
    <w:sectPr>
      <w:headerReference w:type="default" r:id="rId7"/>
      <w:headerReference w:type="first" r:id="rId8"/>
      <w:footerReference w:type="default" r:id="rId9"/>
      <w:footerReference w:type="first" r:id="rId10"/>
      <w:pgSz w:w="11906" w:h="16838"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95959"/>
        <w:sz w:val="16"/>
        <w:szCs w:val="16"/>
      </w:rPr>
      <w:t xml:space="preserve">Private and confidential   |   Page </w:t>
    </w:r>
    <w:r>
      <w:rPr>
        <w:rFonts w:ascii="Arial" w:cs="Arial" w:eastAsia="Arial" w:hAnsi="Arial"/>
        <w:color w:val="595959"/>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227" w:sz="6" w:space="4"/>
      </w:pBdr>
      <w:jc w:val="right"/>
    </w:pPr>
    <w:r>
      <w:rPr>
        <w:rFonts w:ascii="Arial" w:cs="Arial" w:eastAsia="Arial" w:hAnsi="Arial"/>
        <w:color w:val="595959"/>
        <w:sz w:val="16"/>
        <w:szCs w:val="16"/>
      </w:rPr>
      <w:t xml:space="preserve">[Company Name]  |  Board Reporting Pack  |  [Month Year]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Reporting Pack Template</dc:title>
  <dc:creator>Board Reporting Pack Template</dc:creator>
  <cp:lastModifiedBy>Un-named</cp:lastModifiedBy>
  <cp:revision>1</cp:revision>
  <dcterms:created xsi:type="dcterms:W3CDTF">2026-07-28T10:01:20.752Z</dcterms:created>
  <dcterms:modified xsi:type="dcterms:W3CDTF">2026-07-28T10:01:20.752Z</dcterms:modified>
</cp:coreProperties>
</file>

<file path=docProps/custom.xml><?xml version="1.0" encoding="utf-8"?>
<Properties xmlns="http://schemas.openxmlformats.org/officeDocument/2006/custom-properties" xmlns:vt="http://schemas.openxmlformats.org/officeDocument/2006/docPropsVTypes"/>
</file>